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default" w:ascii="Times New Roman" w:hAnsi="Times New Roman" w:eastAsia="方正小标宋_GBK" w:cs="Times New Roman"/>
          <w:b/>
          <w:bCs/>
          <w:spacing w:val="3"/>
          <w:sz w:val="44"/>
          <w:szCs w:val="44"/>
        </w:rPr>
      </w:pPr>
    </w:p>
    <w:p>
      <w:pPr>
        <w:tabs>
          <w:tab w:val="left" w:pos="11340"/>
        </w:tabs>
        <w:spacing w:line="520" w:lineRule="exact"/>
        <w:rPr>
          <w:rFonts w:hint="default" w:ascii="Times New Roman" w:hAnsi="Times New Roman" w:eastAsia="方正小标宋_GBK" w:cs="Times New Roman"/>
          <w:b/>
          <w:bCs/>
          <w:spacing w:val="3"/>
          <w:sz w:val="44"/>
          <w:szCs w:val="44"/>
        </w:rPr>
      </w:pPr>
    </w:p>
    <w:p>
      <w:pPr>
        <w:tabs>
          <w:tab w:val="left" w:pos="11340"/>
        </w:tabs>
        <w:spacing w:line="520" w:lineRule="exact"/>
        <w:rPr>
          <w:rFonts w:hint="default" w:ascii="Times New Roman" w:hAnsi="Times New Roman" w:eastAsia="方正小标宋_GBK" w:cs="Times New Roman"/>
          <w:b/>
          <w:bCs/>
          <w:spacing w:val="3"/>
          <w:sz w:val="44"/>
          <w:szCs w:val="44"/>
        </w:rPr>
      </w:pPr>
    </w:p>
    <w:p>
      <w:pPr>
        <w:tabs>
          <w:tab w:val="left" w:pos="11340"/>
        </w:tabs>
        <w:spacing w:line="520" w:lineRule="exact"/>
        <w:rPr>
          <w:rFonts w:hint="default" w:ascii="Times New Roman" w:hAnsi="Times New Roman" w:eastAsia="方正小标宋_GBK" w:cs="Times New Roman"/>
          <w:b/>
          <w:bCs/>
          <w:spacing w:val="3"/>
          <w:sz w:val="48"/>
        </w:rPr>
      </w:pPr>
      <w:r>
        <w:rPr>
          <w:rFonts w:hint="default" w:ascii="Times New Roman" w:hAnsi="Times New Roman" w:eastAsia="方正小标宋_GBK" w:cs="Times New Roman"/>
          <w:b/>
          <w:bCs/>
          <w:spacing w:val="3"/>
          <w:sz w:val="44"/>
          <w:szCs w:val="44"/>
        </w:rPr>
        <w:t>惠州市国有建设用地使用权网上挂牌</w:t>
      </w:r>
      <w:r>
        <w:rPr>
          <w:rFonts w:hint="default" w:ascii="Times New Roman" w:hAnsi="Times New Roman" w:eastAsia="方正小标宋_GBK" w:cs="Times New Roman"/>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049</w:t>
      </w:r>
      <w:r>
        <w:rPr>
          <w:rFonts w:hint="eastAsia" w:ascii="仿宋_GB2312" w:eastAsia="仿宋_GB2312"/>
          <w:sz w:val="32"/>
          <w:szCs w:val="32"/>
        </w:rPr>
        <w:t>号</w:t>
      </w:r>
    </w:p>
    <w:p>
      <w:pPr>
        <w:pStyle w:val="2"/>
        <w:rPr>
          <w:rFonts w:hint="default"/>
        </w:rPr>
      </w:pP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国土资源部令第39号《招标拍卖挂牌出让国有建设用地使用权规定》和广东省人民政府令第79号《广东省土地使用权交易市场管理规定》的规定，经惠州市人民政府批准，惠州市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kinsoku/>
        <w:wordWrap/>
        <w:overflowPunct/>
        <w:topLinePunct w:val="0"/>
        <w:autoSpaceDE/>
        <w:autoSpaceDN/>
        <w:bidi w:val="0"/>
        <w:spacing w:line="560" w:lineRule="exact"/>
        <w:ind w:firstLine="720" w:firstLineChars="22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一、网上挂牌出让地块基本情况及规划指标要求（见附表）</w:t>
      </w:r>
    </w:p>
    <w:p>
      <w:pPr>
        <w:keepNext w:val="0"/>
        <w:keepLines w:val="0"/>
        <w:pageBreakBefore w:val="0"/>
        <w:kinsoku/>
        <w:wordWrap/>
        <w:overflowPunct/>
        <w:topLinePunct w:val="0"/>
        <w:autoSpaceDE/>
        <w:autoSpaceDN/>
        <w:bidi w:val="0"/>
        <w:spacing w:line="560" w:lineRule="exact"/>
        <w:ind w:firstLine="720" w:firstLineChars="22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二、网上挂牌竞买时间为20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日</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时至20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23</w:t>
      </w:r>
      <w:r>
        <w:rPr>
          <w:rFonts w:hint="default" w:ascii="Times New Roman" w:hAnsi="Times New Roman" w:eastAsia="仿宋_GB2312" w:cs="Times New Roman"/>
          <w:sz w:val="32"/>
          <w:szCs w:val="32"/>
        </w:rPr>
        <w:t>日</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时。</w:t>
      </w:r>
    </w:p>
    <w:p>
      <w:pPr>
        <w:keepNext w:val="0"/>
        <w:keepLines w:val="0"/>
        <w:pageBreakBefore w:val="0"/>
        <w:kinsoku/>
        <w:wordWrap/>
        <w:overflowPunct/>
        <w:topLinePunct w:val="0"/>
        <w:autoSpaceDE/>
        <w:autoSpaceDN/>
        <w:bidi w:val="0"/>
        <w:spacing w:line="560" w:lineRule="exact"/>
        <w:ind w:firstLine="720" w:firstLineChars="22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三、挂牌起始价为人民币</w:t>
      </w:r>
      <w:r>
        <w:rPr>
          <w:rFonts w:hint="eastAsia" w:ascii="Times New Roman" w:hAnsi="Times New Roman" w:eastAsia="仿宋_GB2312" w:cs="Times New Roman"/>
          <w:sz w:val="32"/>
          <w:szCs w:val="32"/>
          <w:lang w:val="en-US" w:eastAsia="zh-CN"/>
        </w:rPr>
        <w:t>2300</w:t>
      </w:r>
      <w:r>
        <w:rPr>
          <w:rFonts w:hint="default" w:ascii="Times New Roman" w:hAnsi="Times New Roman" w:eastAsia="仿宋_GB2312" w:cs="Times New Roman"/>
          <w:sz w:val="32"/>
          <w:szCs w:val="32"/>
        </w:rPr>
        <w:t>万元,每次报价加价幅度为人民币100万元的整数倍。</w:t>
      </w:r>
    </w:p>
    <w:p>
      <w:pPr>
        <w:keepNext w:val="0"/>
        <w:keepLines w:val="0"/>
        <w:pageBreakBefore w:val="0"/>
        <w:kinsoku/>
        <w:wordWrap/>
        <w:overflowPunct/>
        <w:topLinePunct w:val="0"/>
        <w:autoSpaceDE/>
        <w:autoSpaceDN/>
        <w:bidi w:val="0"/>
        <w:spacing w:line="560" w:lineRule="exact"/>
        <w:ind w:firstLine="720" w:firstLineChars="22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四、中华人民共和国境内外的法人、自然人和其他组织（除法律法规另有规定外）均可申请参加竞买。申请人可以单独申请，也可以联合申请：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outlineLvl w:val="9"/>
        <w:rPr>
          <w:rFonts w:hint="default" w:ascii="Times New Roman" w:hAnsi="Times New Roman" w:cs="Times New Roman"/>
          <w:szCs w:val="32"/>
        </w:rPr>
      </w:pPr>
      <w:r>
        <w:rPr>
          <w:rFonts w:hint="default" w:ascii="Times New Roman" w:hAnsi="Times New Roman" w:cs="Times New Roman"/>
          <w:szCs w:val="32"/>
        </w:rPr>
        <w:t>（一）单独申请竞买的，竞买申请人为非本市注册登记的企业，在竞得土地后，必须于2个月内在本市工商行政管理部门注册成立项目开发公司，并以该公司名义办理土地出让与登记发证手续。</w:t>
      </w:r>
      <w:r>
        <w:rPr>
          <w:rFonts w:hint="eastAsia" w:hAnsi="仿宋_GB2312" w:cs="仿宋_GB2312"/>
          <w:szCs w:val="32"/>
        </w:rPr>
        <w:t>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default" w:ascii="Times New Roman" w:hAnsi="Times New Roman" w:cs="Times New Roman"/>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before="0" w:line="560" w:lineRule="exact"/>
        <w:jc w:val="both"/>
        <w:textAlignment w:val="auto"/>
        <w:outlineLvl w:val="9"/>
        <w:rPr>
          <w:rFonts w:hint="default" w:ascii="Times New Roman" w:hAnsi="Times New Roman" w:cs="Times New Roman"/>
          <w:szCs w:val="32"/>
        </w:rPr>
      </w:pPr>
      <w:r>
        <w:rPr>
          <w:rFonts w:hint="default" w:ascii="Times New Roman" w:hAnsi="Times New Roman" w:cs="Times New Roman"/>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outlineLvl w:val="9"/>
        <w:rPr>
          <w:rFonts w:hint="default" w:ascii="Times New Roman" w:hAnsi="Times New Roman" w:cs="Times New Roman"/>
          <w:szCs w:val="32"/>
        </w:rPr>
      </w:pPr>
      <w:r>
        <w:rPr>
          <w:rFonts w:hint="default" w:ascii="Times New Roman" w:hAnsi="Times New Roman" w:cs="Times New Roman"/>
          <w:szCs w:val="32"/>
        </w:rPr>
        <w:t>五、该宗地竞买保证金可用人民币及外币（暂限于美元、港币）支付。</w:t>
      </w:r>
    </w:p>
    <w:p>
      <w:pPr>
        <w:pStyle w:val="3"/>
        <w:keepNext w:val="0"/>
        <w:keepLines w:val="0"/>
        <w:pageBreakBefore w:val="0"/>
        <w:widowControl w:val="0"/>
        <w:kinsoku/>
        <w:wordWrap/>
        <w:overflowPunct/>
        <w:topLinePunct w:val="0"/>
        <w:autoSpaceDE/>
        <w:autoSpaceDN/>
        <w:bidi w:val="0"/>
        <w:spacing w:before="0" w:line="560" w:lineRule="exact"/>
        <w:jc w:val="both"/>
        <w:textAlignment w:val="auto"/>
        <w:outlineLvl w:val="9"/>
        <w:rPr>
          <w:rFonts w:hint="default" w:ascii="Times New Roman" w:hAnsi="Times New Roman" w:cs="Times New Roman"/>
          <w:szCs w:val="32"/>
        </w:rPr>
      </w:pPr>
      <w:r>
        <w:rPr>
          <w:rFonts w:hint="default" w:ascii="Times New Roman" w:hAnsi="Times New Roman" w:cs="Times New Roman"/>
          <w:szCs w:val="32"/>
        </w:rPr>
        <w:t>六、申请人应具备的其他条件：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outlineLvl w:val="9"/>
        <w:rPr>
          <w:rFonts w:hint="default" w:ascii="Times New Roman" w:hAnsi="Times New Roman" w:cs="Times New Roman"/>
          <w:szCs w:val="32"/>
        </w:rPr>
      </w:pPr>
      <w:r>
        <w:rPr>
          <w:rFonts w:hint="default" w:ascii="Times New Roman" w:hAnsi="Times New Roman" w:cs="Times New Roman"/>
          <w:szCs w:val="32"/>
        </w:rPr>
        <w:t>（一）缴交竞买保证金</w:t>
      </w:r>
      <w:r>
        <w:rPr>
          <w:rFonts w:hint="eastAsia" w:ascii="Times New Roman" w:hAnsi="Times New Roman" w:cs="Times New Roman"/>
          <w:color w:val="000000"/>
          <w:sz w:val="32"/>
          <w:szCs w:val="32"/>
          <w:lang w:val="en-US" w:eastAsia="zh-CN"/>
        </w:rPr>
        <w:t>460</w:t>
      </w:r>
      <w:r>
        <w:rPr>
          <w:rFonts w:hint="default" w:ascii="Times New Roman" w:hAnsi="Times New Roman" w:cs="Times New Roman"/>
          <w:szCs w:val="32"/>
        </w:rPr>
        <w:t>万元人民币，如以外币缴交竞买保证金的，须缴交美元</w:t>
      </w:r>
      <w:r>
        <w:rPr>
          <w:rFonts w:hint="eastAsia" w:ascii="Times New Roman" w:hAnsi="Times New Roman" w:cs="Times New Roman"/>
          <w:szCs w:val="32"/>
          <w:lang w:val="en-US" w:eastAsia="zh-CN"/>
        </w:rPr>
        <w:t>69</w:t>
      </w:r>
      <w:r>
        <w:rPr>
          <w:rFonts w:hint="default" w:ascii="Times New Roman" w:hAnsi="Times New Roman" w:cs="Times New Roman"/>
          <w:szCs w:val="32"/>
        </w:rPr>
        <w:t>万元或港币</w:t>
      </w:r>
      <w:r>
        <w:rPr>
          <w:rFonts w:hint="eastAsia" w:ascii="Times New Roman" w:hAnsi="Times New Roman" w:cs="Times New Roman"/>
          <w:szCs w:val="32"/>
          <w:lang w:val="en-US" w:eastAsia="zh-CN"/>
        </w:rPr>
        <w:t>538</w:t>
      </w:r>
      <w:r>
        <w:rPr>
          <w:rFonts w:hint="default" w:ascii="Times New Roman" w:hAnsi="Times New Roman" w:cs="Times New Roman"/>
          <w:szCs w:val="32"/>
        </w:rPr>
        <w:t>万元。</w:t>
      </w:r>
    </w:p>
    <w:p>
      <w:pPr>
        <w:pStyle w:val="3"/>
        <w:keepNext w:val="0"/>
        <w:keepLines w:val="0"/>
        <w:pageBreakBefore w:val="0"/>
        <w:widowControl w:val="0"/>
        <w:kinsoku/>
        <w:wordWrap/>
        <w:overflowPunct/>
        <w:topLinePunct w:val="0"/>
        <w:autoSpaceDE/>
        <w:autoSpaceDN/>
        <w:bidi w:val="0"/>
        <w:spacing w:before="0" w:line="560" w:lineRule="exact"/>
        <w:jc w:val="both"/>
        <w:textAlignment w:val="auto"/>
        <w:outlineLvl w:val="9"/>
        <w:rPr>
          <w:rFonts w:hint="default" w:ascii="Times New Roman" w:hAnsi="Times New Roman" w:cs="Times New Roman"/>
          <w:szCs w:val="32"/>
        </w:rPr>
      </w:pPr>
      <w:r>
        <w:rPr>
          <w:rFonts w:hint="default" w:ascii="Times New Roman" w:hAnsi="Times New Roman" w:cs="Times New Roman"/>
          <w:szCs w:val="32"/>
        </w:rPr>
        <w:t>（二）竞得人在用地红线内开发建设必须符合城市规划要求，必须按</w:t>
      </w:r>
      <w:r>
        <w:rPr>
          <w:rFonts w:hint="eastAsia" w:ascii="仿宋_GB2312" w:hAnsi="仿宋" w:eastAsia="仿宋_GB2312"/>
          <w:kern w:val="2"/>
          <w:sz w:val="32"/>
          <w:szCs w:val="32"/>
        </w:rPr>
        <w:t>《</w:t>
      </w:r>
      <w:r>
        <w:rPr>
          <w:rFonts w:hint="eastAsia" w:ascii="仿宋_GB2312" w:hAnsi="仿宋" w:eastAsia="仿宋_GB2312"/>
          <w:kern w:val="2"/>
          <w:sz w:val="32"/>
          <w:szCs w:val="32"/>
          <w:lang w:eastAsia="zh-CN"/>
        </w:rPr>
        <w:t>建设用地规划设计条件</w:t>
      </w:r>
      <w:r>
        <w:rPr>
          <w:rFonts w:hint="eastAsia" w:ascii="仿宋_GB2312" w:hAnsi="仿宋" w:eastAsia="仿宋_GB2312"/>
          <w:kern w:val="2"/>
          <w:sz w:val="32"/>
          <w:szCs w:val="32"/>
        </w:rPr>
        <w:t>》</w:t>
      </w:r>
      <w:r>
        <w:rPr>
          <w:rFonts w:hint="default" w:ascii="Times New Roman" w:hAnsi="Times New Roman" w:cs="Times New Roman"/>
          <w:szCs w:val="32"/>
        </w:rPr>
        <w:t>（案卷编号：</w:t>
      </w:r>
      <w:r>
        <w:rPr>
          <w:rFonts w:hint="default" w:ascii="Times New Roman" w:hAnsi="Times New Roman" w:eastAsia="仿宋_GB2312" w:cs="Times New Roman"/>
          <w:sz w:val="32"/>
          <w:szCs w:val="32"/>
        </w:rPr>
        <w:t>PB20</w:t>
      </w:r>
      <w:r>
        <w:rPr>
          <w:rFonts w:hint="default" w:ascii="Times New Roman" w:hAnsi="Times New Roman" w:eastAsia="仿宋_GB2312" w:cs="Times New Roman"/>
          <w:sz w:val="32"/>
          <w:szCs w:val="32"/>
          <w:lang w:val="en-US"/>
        </w:rPr>
        <w:t>200</w:t>
      </w:r>
      <w:r>
        <w:rPr>
          <w:rFonts w:hint="eastAsia" w:ascii="Times New Roman" w:hAnsi="Times New Roman" w:cs="Times New Roman"/>
          <w:sz w:val="32"/>
          <w:szCs w:val="32"/>
          <w:lang w:val="en-US" w:eastAsia="zh-CN"/>
        </w:rPr>
        <w:t>069</w:t>
      </w:r>
      <w:r>
        <w:rPr>
          <w:rFonts w:hint="default" w:ascii="Times New Roman" w:hAnsi="Times New Roman" w:cs="Times New Roman"/>
          <w:szCs w:val="32"/>
        </w:rPr>
        <w:t>）规划控制指标要求及有关规定进行规划设计。</w:t>
      </w:r>
    </w:p>
    <w:p>
      <w:pPr>
        <w:keepNext w:val="0"/>
        <w:keepLines w:val="0"/>
        <w:pageBreakBefore w:val="0"/>
        <w:tabs>
          <w:tab w:val="left" w:pos="2172"/>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kern w:val="2"/>
          <w:sz w:val="32"/>
          <w:szCs w:val="32"/>
        </w:rPr>
      </w:pPr>
      <w:r>
        <w:rPr>
          <w:rFonts w:hint="eastAsia" w:ascii="仿宋_GB2312" w:hAnsi="仿宋" w:eastAsia="仿宋_GB2312"/>
          <w:kern w:val="2"/>
          <w:sz w:val="32"/>
          <w:szCs w:val="32"/>
        </w:rPr>
        <w:t>（三）取得</w:t>
      </w:r>
      <w:r>
        <w:rPr>
          <w:rFonts w:hint="eastAsia" w:ascii="Times New Roman" w:hAnsi="Times New Roman" w:eastAsia="仿宋_GB2312" w:cs="Times New Roman"/>
          <w:kern w:val="2"/>
          <w:sz w:val="32"/>
          <w:szCs w:val="32"/>
          <w:lang w:val="en-US" w:eastAsia="zh-CN" w:bidi="ar-SA"/>
        </w:rPr>
        <w:t>JBN-16-02-01</w:t>
      </w:r>
      <w:r>
        <w:rPr>
          <w:rFonts w:hint="eastAsia" w:ascii="仿宋_GB2312" w:hAnsi="仿宋" w:eastAsia="仿宋_GB2312"/>
          <w:kern w:val="2"/>
          <w:sz w:val="32"/>
          <w:szCs w:val="32"/>
        </w:rPr>
        <w:t>土地使用权人应按照《</w:t>
      </w:r>
      <w:r>
        <w:rPr>
          <w:rFonts w:hint="eastAsia" w:ascii="仿宋_GB2312" w:hAnsi="仿宋" w:eastAsia="仿宋_GB2312"/>
          <w:kern w:val="2"/>
          <w:sz w:val="32"/>
          <w:szCs w:val="32"/>
          <w:lang w:eastAsia="zh-CN"/>
        </w:rPr>
        <w:t>建设用地规划设计条件</w:t>
      </w:r>
      <w:r>
        <w:rPr>
          <w:rFonts w:hint="eastAsia" w:ascii="仿宋_GB2312" w:hAnsi="仿宋" w:eastAsia="仿宋_GB2312"/>
          <w:kern w:val="2"/>
          <w:sz w:val="32"/>
          <w:szCs w:val="32"/>
        </w:rPr>
        <w:t>》的规划要求配建相关的配套设施。</w:t>
      </w:r>
    </w:p>
    <w:p>
      <w:pPr>
        <w:keepNext w:val="0"/>
        <w:keepLines w:val="0"/>
        <w:pageBreakBefore w:val="0"/>
        <w:widowControl/>
        <w:kinsoku/>
        <w:wordWrap/>
        <w:overflowPunct/>
        <w:topLinePunct w:val="0"/>
        <w:autoSpaceDE/>
        <w:autoSpaceDN/>
        <w:bidi w:val="0"/>
        <w:spacing w:line="560" w:lineRule="exact"/>
        <w:ind w:firstLine="618"/>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四</w:t>
      </w:r>
      <w:r>
        <w:rPr>
          <w:rFonts w:hint="default" w:ascii="Times New Roman" w:hAnsi="Times New Roman" w:eastAsia="仿宋_GB2312" w:cs="Times New Roman"/>
          <w:sz w:val="32"/>
          <w:szCs w:val="32"/>
        </w:rPr>
        <w:t>）存在下列违法违规违约行为之一的企业及其控股股东，不得参与竞买上述地块：</w:t>
      </w:r>
    </w:p>
    <w:p>
      <w:pPr>
        <w:pStyle w:val="3"/>
        <w:keepNext w:val="0"/>
        <w:keepLines w:val="0"/>
        <w:pageBreakBefore w:val="0"/>
        <w:widowControl w:val="0"/>
        <w:kinsoku/>
        <w:wordWrap/>
        <w:overflowPunct/>
        <w:topLinePunct w:val="0"/>
        <w:autoSpaceDE/>
        <w:autoSpaceDN/>
        <w:bidi w:val="0"/>
        <w:spacing w:before="0" w:line="560" w:lineRule="exact"/>
        <w:jc w:val="both"/>
        <w:textAlignment w:val="auto"/>
        <w:outlineLvl w:val="9"/>
        <w:rPr>
          <w:rFonts w:hint="default" w:ascii="Times New Roman" w:hAnsi="Times New Roman" w:cs="Times New Roman"/>
          <w:szCs w:val="32"/>
        </w:rPr>
      </w:pPr>
      <w:r>
        <w:rPr>
          <w:rFonts w:hint="default" w:ascii="Times New Roman" w:hAnsi="Times New Roman" w:cs="Times New Roman"/>
          <w:szCs w:val="32"/>
        </w:rPr>
        <w:t>1、存在伪造公文骗取用地和非法倒卖土地等犯罪行为的；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outlineLvl w:val="9"/>
        <w:rPr>
          <w:rFonts w:hint="default" w:ascii="Times New Roman" w:hAnsi="Times New Roman" w:cs="Times New Roman"/>
          <w:szCs w:val="32"/>
        </w:rPr>
      </w:pPr>
      <w:r>
        <w:rPr>
          <w:rFonts w:hint="default" w:ascii="Times New Roman" w:hAnsi="Times New Roman" w:cs="Times New Roman"/>
          <w:szCs w:val="32"/>
        </w:rPr>
        <w:t>2、存在非法转让土地使用权等违法行为的；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outlineLvl w:val="9"/>
        <w:rPr>
          <w:rFonts w:hint="default" w:ascii="Times New Roman" w:hAnsi="Times New Roman" w:cs="Times New Roman"/>
          <w:szCs w:val="32"/>
        </w:rPr>
      </w:pPr>
      <w:r>
        <w:rPr>
          <w:rFonts w:hint="default" w:ascii="Times New Roman" w:hAnsi="Times New Roman" w:cs="Times New Roman"/>
          <w:szCs w:val="32"/>
        </w:rPr>
        <w:t>3、因企业原因造成土地闲置一年以上且至报名日止未处罚完结的；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outlineLvl w:val="9"/>
        <w:rPr>
          <w:rFonts w:hint="default" w:ascii="Times New Roman" w:hAnsi="Times New Roman" w:cs="Times New Roman"/>
          <w:szCs w:val="32"/>
        </w:rPr>
      </w:pPr>
      <w:r>
        <w:rPr>
          <w:rFonts w:hint="default" w:ascii="Times New Roman" w:hAnsi="Times New Roman" w:cs="Times New Roman"/>
          <w:szCs w:val="32"/>
        </w:rPr>
        <w:t>4、开发建设企业有违背出让合同约定条件开发利用土地情形且至报名日止未处罚完结的；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outlineLvl w:val="9"/>
        <w:rPr>
          <w:rFonts w:hint="default" w:ascii="Times New Roman" w:hAnsi="Times New Roman" w:cs="Times New Roman"/>
          <w:szCs w:val="32"/>
        </w:rPr>
      </w:pPr>
      <w:r>
        <w:rPr>
          <w:rFonts w:hint="default" w:ascii="Times New Roman" w:hAnsi="Times New Roman" w:cs="Times New Roman"/>
          <w:szCs w:val="32"/>
        </w:rPr>
        <w:t>5、至报名日止仍拖欠政府地价款的;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outlineLvl w:val="9"/>
        <w:rPr>
          <w:rFonts w:hint="default" w:ascii="Times New Roman" w:hAnsi="Times New Roman" w:cs="Times New Roman"/>
          <w:szCs w:val="32"/>
        </w:rPr>
      </w:pPr>
      <w:r>
        <w:rPr>
          <w:rFonts w:hint="default" w:ascii="Times New Roman" w:hAnsi="Times New Roman" w:cs="Times New Roman"/>
          <w:szCs w:val="32"/>
        </w:rPr>
        <w:t>6、被列入问题楼盘开发企业黑名单的;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outlineLvl w:val="9"/>
        <w:rPr>
          <w:rFonts w:hint="default" w:ascii="Times New Roman" w:hAnsi="Times New Roman" w:cs="Times New Roman"/>
          <w:szCs w:val="32"/>
        </w:rPr>
      </w:pPr>
      <w:r>
        <w:rPr>
          <w:rFonts w:hint="default" w:ascii="Times New Roman" w:hAnsi="Times New Roman" w:cs="Times New Roman"/>
          <w:szCs w:val="32"/>
        </w:rPr>
        <w:t>7、存在其它被禁止竞买土地行为的。</w:t>
      </w:r>
    </w:p>
    <w:p>
      <w:pPr>
        <w:keepNext w:val="0"/>
        <w:keepLines w:val="0"/>
        <w:pageBreakBefore w:val="0"/>
        <w:kinsoku/>
        <w:wordWrap/>
        <w:overflowPunct/>
        <w:topLinePunct w:val="0"/>
        <w:autoSpaceDE/>
        <w:autoSpaceDN/>
        <w:bidi w:val="0"/>
        <w:spacing w:line="560" w:lineRule="exact"/>
        <w:ind w:firstLine="55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七、本次国有建设用地使用权网上挂牌出让为无底价挂牌出让，按照价高者得的原则确定竞得人。</w:t>
      </w:r>
    </w:p>
    <w:p>
      <w:pPr>
        <w:keepNext w:val="0"/>
        <w:keepLines w:val="0"/>
        <w:pageBreakBefore w:val="0"/>
        <w:kinsoku/>
        <w:wordWrap/>
        <w:overflowPunct/>
        <w:topLinePunct w:val="0"/>
        <w:autoSpaceDE/>
        <w:autoSpaceDN/>
        <w:bidi w:val="0"/>
        <w:spacing w:line="560" w:lineRule="exact"/>
        <w:ind w:firstLine="55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八、本次网上挂牌出让的详细资料和具体要求，见惠州市公共资源交易中心土地与矿业网上挂牌交易系统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。申请人可在网上挂牌交易系统下载挂牌出让公告、须知及相关交易文件，并按上述文件规定的操作程序在网上参加竞买。</w:t>
      </w:r>
    </w:p>
    <w:p>
      <w:pPr>
        <w:keepNext w:val="0"/>
        <w:keepLines w:val="0"/>
        <w:pageBreakBefore w:val="0"/>
        <w:kinsoku/>
        <w:wordWrap/>
        <w:overflowPunct/>
        <w:topLinePunct w:val="0"/>
        <w:autoSpaceDE/>
        <w:autoSpaceDN/>
        <w:bidi w:val="0"/>
        <w:spacing w:line="560" w:lineRule="exact"/>
        <w:ind w:firstLine="55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九、有意竞买者可以自行到地块现场踏勘（可在网上挂牌交易系统查阅位置图和现状图）。</w:t>
      </w:r>
    </w:p>
    <w:p>
      <w:pPr>
        <w:keepNext w:val="0"/>
        <w:keepLines w:val="0"/>
        <w:pageBreakBefore w:val="0"/>
        <w:kinsoku/>
        <w:wordWrap/>
        <w:overflowPunct/>
        <w:topLinePunct w:val="0"/>
        <w:autoSpaceDE/>
        <w:autoSpaceDN/>
        <w:bidi w:val="0"/>
        <w:spacing w:line="560" w:lineRule="exact"/>
        <w:ind w:firstLine="55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十、申请人应当在网上挂牌出让结束前登陆惠州市公共资源交易中心土地与矿业网上挂牌交易系统并在系统上向惠州市公共资源交易中心提交竞买申请并支付保证金。网上挂牌保证金到账截止时间为20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23</w:t>
      </w:r>
      <w:r>
        <w:rPr>
          <w:rFonts w:hint="default" w:ascii="Times New Roman" w:hAnsi="Times New Roman" w:eastAsia="仿宋_GB2312" w:cs="Times New Roman"/>
          <w:sz w:val="32"/>
          <w:szCs w:val="32"/>
        </w:rPr>
        <w:t>日</w:t>
      </w:r>
      <w:r>
        <w:rPr>
          <w:rFonts w:hint="eastAsia" w:eastAsia="仿宋_GB2312" w:cs="Times New Roman"/>
          <w:sz w:val="32"/>
          <w:szCs w:val="32"/>
          <w:lang w:val="en-US" w:eastAsia="zh-CN"/>
        </w:rPr>
        <w:t>上</w:t>
      </w:r>
      <w:r>
        <w:rPr>
          <w:rFonts w:hint="default" w:ascii="Times New Roman" w:hAnsi="Times New Roman" w:eastAsia="仿宋_GB2312" w:cs="Times New Roman"/>
          <w:sz w:val="32"/>
          <w:szCs w:val="32"/>
        </w:rPr>
        <w:t>午</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时止。网上挂牌报价时间截止时，经系统询问，有竞买人表示愿意继续竞价的，系统自动进入网上限时竞价程序，通过竞价确定竞得人。</w:t>
      </w:r>
    </w:p>
    <w:p>
      <w:pPr>
        <w:keepNext w:val="0"/>
        <w:keepLines w:val="0"/>
        <w:pageBreakBefore w:val="0"/>
        <w:kinsoku/>
        <w:wordWrap/>
        <w:overflowPunct/>
        <w:topLinePunct w:val="0"/>
        <w:autoSpaceDE/>
        <w:autoSpaceDN/>
        <w:bidi w:val="0"/>
        <w:spacing w:line="560" w:lineRule="exact"/>
        <w:ind w:firstLine="55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kinsoku/>
        <w:wordWrap/>
        <w:overflowPunct/>
        <w:topLinePunct w:val="0"/>
        <w:autoSpaceDE/>
        <w:autoSpaceDN/>
        <w:bidi w:val="0"/>
        <w:spacing w:line="560" w:lineRule="exact"/>
        <w:ind w:firstLine="55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十二、竞得人签订《成交确认书》后，缴交的保证金中按成交价的10%转作定金，竞得人签订《出让合同》后，定金转作土地出让价款。</w:t>
      </w:r>
    </w:p>
    <w:p>
      <w:pPr>
        <w:keepNext w:val="0"/>
        <w:keepLines w:val="0"/>
        <w:pageBreakBefore w:val="0"/>
        <w:kinsoku/>
        <w:wordWrap/>
        <w:overflowPunct/>
        <w:topLinePunct w:val="0"/>
        <w:autoSpaceDE/>
        <w:autoSpaceDN/>
        <w:bidi w:val="0"/>
        <w:spacing w:line="560" w:lineRule="exact"/>
        <w:ind w:firstLine="55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外币缴纳土地竞买保证金的，成交确认后，将在竞得人支付的外币保证金中扣除成交价款的10%（按成交当日汇率结汇）作为受让地块的定金，其余部分原路返回给竞得人，待竞得人按时缴清地价款后，再将定金退回。</w:t>
      </w:r>
    </w:p>
    <w:p>
      <w:pPr>
        <w:keepNext w:val="0"/>
        <w:keepLines w:val="0"/>
        <w:pageBreakBefore w:val="0"/>
        <w:kinsoku/>
        <w:wordWrap/>
        <w:overflowPunct/>
        <w:topLinePunct w:val="0"/>
        <w:autoSpaceDE/>
        <w:autoSpaceDN/>
        <w:bidi w:val="0"/>
        <w:spacing w:line="560" w:lineRule="exact"/>
        <w:ind w:firstLine="55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保证金少于成交价10%的，不足部分由竞得人在签订《成交确认书》之日起5个工作日内付清。</w:t>
      </w:r>
    </w:p>
    <w:p>
      <w:pPr>
        <w:keepNext w:val="0"/>
        <w:keepLines w:val="0"/>
        <w:pageBreakBefore w:val="0"/>
        <w:kinsoku/>
        <w:wordWrap/>
        <w:overflowPunct/>
        <w:topLinePunct w:val="0"/>
        <w:autoSpaceDE/>
        <w:autoSpaceDN/>
        <w:bidi w:val="0"/>
        <w:spacing w:line="560" w:lineRule="exact"/>
        <w:ind w:firstLine="55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十三、其它需要公告的事项</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（一）开发投资总额不少于</w:t>
      </w:r>
      <w:r>
        <w:rPr>
          <w:rFonts w:hint="eastAsia" w:ascii="Times New Roman" w:hAnsi="Times New Roman" w:eastAsia="仿宋_GB2312" w:cs="Times New Roman"/>
          <w:kern w:val="2"/>
          <w:sz w:val="32"/>
          <w:szCs w:val="32"/>
          <w:lang w:val="en-US" w:eastAsia="zh-CN"/>
        </w:rPr>
        <w:t>5800</w:t>
      </w:r>
      <w:r>
        <w:rPr>
          <w:rFonts w:hint="default" w:ascii="Times New Roman" w:hAnsi="Times New Roman" w:eastAsia="仿宋_GB2312" w:cs="Times New Roman"/>
          <w:sz w:val="32"/>
          <w:szCs w:val="32"/>
        </w:rPr>
        <w:t>万元（含地价,不含地价溢价部分）。</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（二）土地成交价款须以人民币支付,竞得人在签订《出让合同》之日起30日内付清全部成交价款。</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（三）该地权利清晰，安置补偿落实到位，没有法律经济纠纷，具备动工开发所必须的基本条件。</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（四）竞得人有下列行为之一的，视为违约，取消竞得人资格，没收保证金,并由有关部门依法处理;造成损失的，竞得人还应依法承担赔偿责任：</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1、不符合竞买资格条件的；</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2、采取行贿、恶意串通等非法手段竞得的；</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3、竞得人以其他非法手段竞得的；</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4、竞得人逾期或拒绝签订《成交确认书》的；</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5、竞得人逾期或拒绝签订《出让合同》的；</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6、不按本须知规定提供有关纸质文件材料，或提供虚假文件材料、隐瞒重要事实，引起交易纠纷的；</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7、构成违约责任的其他行为。</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（五）挂牌出让价款不含应由竞得人缴纳的契税、印花税等有关费用。</w:t>
      </w:r>
    </w:p>
    <w:p>
      <w:pPr>
        <w:keepNext w:val="0"/>
        <w:keepLines w:val="0"/>
        <w:pageBreakBefore w:val="0"/>
        <w:kinsoku/>
        <w:wordWrap/>
        <w:overflowPunct/>
        <w:topLinePunct w:val="0"/>
        <w:autoSpaceDE/>
        <w:autoSpaceDN/>
        <w:bidi w:val="0"/>
        <w:spacing w:line="560" w:lineRule="exact"/>
        <w:ind w:firstLine="555"/>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十</w:t>
      </w:r>
      <w:r>
        <w:rPr>
          <w:rFonts w:hint="eastAsia" w:eastAsia="仿宋_GB2312" w:cs="Times New Roman"/>
          <w:sz w:val="32"/>
          <w:szCs w:val="32"/>
          <w:lang w:val="en-US" w:eastAsia="zh-CN"/>
        </w:rPr>
        <w:t>四、该宗地使用网上挂牌方式出让，交易全程适用《惠州市国有建设用地使用权和矿业权电子挂牌交易规则》（惠府〔2014〕167号）。</w:t>
      </w:r>
    </w:p>
    <w:p>
      <w:pPr>
        <w:keepNext w:val="0"/>
        <w:keepLines w:val="0"/>
        <w:pageBreakBefore w:val="0"/>
        <w:kinsoku/>
        <w:wordWrap/>
        <w:overflowPunct/>
        <w:topLinePunct w:val="0"/>
        <w:autoSpaceDE/>
        <w:autoSpaceDN/>
        <w:bidi w:val="0"/>
        <w:spacing w:line="560" w:lineRule="exact"/>
        <w:ind w:firstLine="55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w:t>
      </w: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rPr>
        <w:t>、联系方式：</w:t>
      </w:r>
    </w:p>
    <w:p>
      <w:pPr>
        <w:keepNext w:val="0"/>
        <w:keepLines w:val="0"/>
        <w:pageBreakBefore w:val="0"/>
        <w:kinsoku/>
        <w:wordWrap/>
        <w:overflowPunct/>
        <w:topLinePunct w:val="0"/>
        <w:autoSpaceDE/>
        <w:autoSpaceDN/>
        <w:bidi w:val="0"/>
        <w:spacing w:line="560" w:lineRule="exact"/>
        <w:ind w:firstLine="55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联系地址：广东省惠州市江北文华一路2号大隆大厦6楼</w:t>
      </w:r>
    </w:p>
    <w:p>
      <w:pPr>
        <w:keepNext w:val="0"/>
        <w:keepLines w:val="0"/>
        <w:pageBreakBefore w:val="0"/>
        <w:kinsoku/>
        <w:wordWrap/>
        <w:overflowPunct/>
        <w:topLinePunct w:val="0"/>
        <w:autoSpaceDE/>
        <w:autoSpaceDN/>
        <w:bidi w:val="0"/>
        <w:spacing w:line="560" w:lineRule="exact"/>
        <w:ind w:firstLine="555"/>
        <w:textAlignment w:val="auto"/>
        <w:outlineLvl w:val="9"/>
        <w:rPr>
          <w:rFonts w:hint="eastAsia" w:eastAsia="仿宋_GB2312" w:cs="Times New Roman"/>
          <w:sz w:val="32"/>
          <w:szCs w:val="32"/>
          <w:lang w:val="en-US" w:eastAsia="zh-CN"/>
        </w:rPr>
      </w:pPr>
      <w:r>
        <w:rPr>
          <w:rFonts w:hint="default" w:ascii="Times New Roman" w:hAnsi="Times New Roman" w:eastAsia="仿宋_GB2312" w:cs="Times New Roman"/>
          <w:sz w:val="32"/>
          <w:szCs w:val="32"/>
        </w:rPr>
        <w:t>联系人：袁小姐、黄小姐</w:t>
      </w:r>
      <w:r>
        <w:rPr>
          <w:rFonts w:hint="eastAsia" w:eastAsia="仿宋_GB2312" w:cs="Times New Roman"/>
          <w:sz w:val="32"/>
          <w:szCs w:val="32"/>
          <w:lang w:val="en-US" w:eastAsia="zh-CN"/>
        </w:rPr>
        <w:t xml:space="preserve"> </w:t>
      </w:r>
    </w:p>
    <w:p>
      <w:pPr>
        <w:keepNext w:val="0"/>
        <w:keepLines w:val="0"/>
        <w:pageBreakBefore w:val="0"/>
        <w:kinsoku/>
        <w:wordWrap/>
        <w:overflowPunct/>
        <w:topLinePunct w:val="0"/>
        <w:autoSpaceDE/>
        <w:autoSpaceDN/>
        <w:bidi w:val="0"/>
        <w:spacing w:line="560" w:lineRule="exact"/>
        <w:ind w:firstLine="55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r>
        <w:rPr>
          <w:rFonts w:hint="eastAsia" w:ascii="仿宋_GB2312" w:hAnsi="仿宋_GB2312" w:eastAsia="仿宋_GB2312" w:cs="仿宋_GB2312"/>
          <w:sz w:val="32"/>
          <w:szCs w:val="32"/>
        </w:rPr>
        <w:t>（0752）</w:t>
      </w:r>
      <w:r>
        <w:rPr>
          <w:rFonts w:hint="eastAsia" w:ascii="仿宋_GB2312" w:hAnsi="仿宋_GB2312" w:eastAsia="仿宋_GB2312" w:cs="仿宋_GB2312"/>
          <w:sz w:val="32"/>
          <w:szCs w:val="32"/>
          <w:lang w:val="en-US" w:eastAsia="zh-CN"/>
        </w:rPr>
        <w:t>7121026、7121042</w:t>
      </w:r>
    </w:p>
    <w:p>
      <w:pPr>
        <w:keepNext w:val="0"/>
        <w:keepLines w:val="0"/>
        <w:pageBreakBefore w:val="0"/>
        <w:kinsoku/>
        <w:wordWrap/>
        <w:overflowPunct/>
        <w:topLinePunct w:val="0"/>
        <w:autoSpaceDE/>
        <w:autoSpaceDN/>
        <w:bidi w:val="0"/>
        <w:spacing w:line="560" w:lineRule="exact"/>
        <w:ind w:firstLine="55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注：本公告同时在下列网站及场所发布</w:t>
      </w:r>
    </w:p>
    <w:p>
      <w:pPr>
        <w:keepNext w:val="0"/>
        <w:keepLines w:val="0"/>
        <w:pageBreakBefore w:val="0"/>
        <w:kinsoku/>
        <w:wordWrap/>
        <w:overflowPunct/>
        <w:topLinePunct w:val="0"/>
        <w:autoSpaceDE/>
        <w:autoSpaceDN/>
        <w:bidi w:val="0"/>
        <w:spacing w:line="560" w:lineRule="exact"/>
        <w:ind w:firstLine="55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中国土地市场网:</w:t>
      </w:r>
      <w:r>
        <w:rPr>
          <w:rFonts w:hint="default" w:ascii="Times New Roman" w:hAnsi="Times New Roman" w:eastAsia="仿宋_GB2312" w:cs="Times New Roman"/>
          <w:b w:val="0"/>
          <w:bCs w:val="0"/>
          <w:sz w:val="32"/>
          <w:szCs w:val="32"/>
        </w:rPr>
        <w:t xml:space="preserve"> http://www.landchina.com</w:t>
      </w:r>
    </w:p>
    <w:p>
      <w:pPr>
        <w:keepNext w:val="0"/>
        <w:keepLines w:val="0"/>
        <w:pageBreakBefore w:val="0"/>
        <w:kinsoku/>
        <w:wordWrap/>
        <w:overflowPunct/>
        <w:topLinePunct w:val="0"/>
        <w:autoSpaceDE/>
        <w:autoSpaceDN/>
        <w:bidi w:val="0"/>
        <w:spacing w:line="560" w:lineRule="exact"/>
        <w:ind w:firstLine="55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广东省土地市场网：</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"http://www.landgd.com"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http://www.landgd.com</w:t>
      </w:r>
      <w:r>
        <w:rPr>
          <w:rFonts w:hint="default" w:ascii="Times New Roman" w:hAnsi="Times New Roman" w:eastAsia="仿宋_GB2312" w:cs="Times New Roman"/>
          <w:sz w:val="32"/>
          <w:szCs w:val="32"/>
        </w:rPr>
        <w:fldChar w:fldCharType="end"/>
      </w:r>
    </w:p>
    <w:p>
      <w:pPr>
        <w:keepNext w:val="0"/>
        <w:keepLines w:val="0"/>
        <w:pageBreakBefore w:val="0"/>
        <w:kinsoku/>
        <w:wordWrap/>
        <w:overflowPunct/>
        <w:topLinePunct w:val="0"/>
        <w:autoSpaceDE/>
        <w:autoSpaceDN/>
        <w:bidi w:val="0"/>
        <w:spacing w:line="560" w:lineRule="exact"/>
        <w:ind w:firstLine="55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惠州市自然资源局网站：http://land.huizhou.gov.cn</w:t>
      </w:r>
    </w:p>
    <w:p>
      <w:pPr>
        <w:keepNext w:val="0"/>
        <w:keepLines w:val="0"/>
        <w:pageBreakBefore w:val="0"/>
        <w:kinsoku/>
        <w:wordWrap/>
        <w:overflowPunct/>
        <w:topLinePunct w:val="0"/>
        <w:autoSpaceDE/>
        <w:autoSpaceDN/>
        <w:bidi w:val="0"/>
        <w:spacing w:line="560" w:lineRule="exact"/>
        <w:ind w:firstLine="55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惠州市公共资源交易中心网：</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"http://zyjy.huizhou.gov.cn"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http://zyjy.huizhou.gov.cn</w:t>
      </w:r>
      <w:r>
        <w:rPr>
          <w:rFonts w:hint="default" w:ascii="Times New Roman" w:hAnsi="Times New Roman" w:eastAsia="仿宋_GB2312" w:cs="Times New Roman"/>
          <w:sz w:val="32"/>
          <w:szCs w:val="32"/>
        </w:rPr>
        <w:fldChar w:fldCharType="end"/>
      </w:r>
    </w:p>
    <w:p>
      <w:pPr>
        <w:keepNext w:val="0"/>
        <w:keepLines w:val="0"/>
        <w:pageBreakBefore w:val="0"/>
        <w:kinsoku/>
        <w:wordWrap/>
        <w:overflowPunct/>
        <w:topLinePunct w:val="0"/>
        <w:autoSpaceDE/>
        <w:autoSpaceDN/>
        <w:bidi w:val="0"/>
        <w:spacing w:line="560" w:lineRule="exact"/>
        <w:ind w:firstLine="55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惠州市公共资源交易中心交易大厅现场。</w:t>
      </w:r>
    </w:p>
    <w:p>
      <w:pPr>
        <w:keepNext w:val="0"/>
        <w:keepLines w:val="0"/>
        <w:pageBreakBefore w:val="0"/>
        <w:kinsoku/>
        <w:wordWrap/>
        <w:overflowPunct/>
        <w:topLinePunct w:val="0"/>
        <w:autoSpaceDE/>
        <w:autoSpaceDN/>
        <w:bidi w:val="0"/>
        <w:spacing w:line="560" w:lineRule="exact"/>
        <w:ind w:firstLine="555"/>
        <w:textAlignment w:val="auto"/>
        <w:outlineLvl w:val="9"/>
        <w:rPr>
          <w:rFonts w:hint="default" w:eastAsia="仿宋_GB2312"/>
          <w:lang w:val="en-US" w:eastAsia="zh-CN"/>
        </w:rPr>
      </w:pPr>
      <w:r>
        <w:rPr>
          <w:rFonts w:hint="eastAsia" w:eastAsia="仿宋_GB2312" w:cs="Times New Roman"/>
          <w:sz w:val="32"/>
          <w:szCs w:val="32"/>
          <w:lang w:val="en-US" w:eastAsia="zh-CN"/>
        </w:rPr>
        <w:t>惠州日报。</w:t>
      </w:r>
    </w:p>
    <w:p>
      <w:pPr>
        <w:keepNext w:val="0"/>
        <w:keepLines w:val="0"/>
        <w:pageBreakBefore w:val="0"/>
        <w:kinsoku/>
        <w:wordWrap/>
        <w:overflowPunct/>
        <w:topLinePunct w:val="0"/>
        <w:autoSpaceDE/>
        <w:autoSpaceDN/>
        <w:bidi w:val="0"/>
        <w:spacing w:line="560" w:lineRule="exact"/>
        <w:ind w:left="487" w:leftChars="232"/>
        <w:textAlignment w:val="auto"/>
        <w:outlineLvl w:val="9"/>
        <w:rPr>
          <w:rFonts w:hint="default" w:ascii="Times New Roman" w:hAnsi="Times New Roman" w:cs="Times New Roman"/>
          <w:color w:val="696969"/>
          <w:sz w:val="32"/>
          <w:szCs w:val="32"/>
        </w:rPr>
      </w:pPr>
      <w:r>
        <w:rPr>
          <w:rFonts w:hint="default" w:ascii="Times New Roman" w:hAnsi="Times New Roman" w:eastAsia="仿宋_GB2312" w:cs="Times New Roman"/>
          <w:sz w:val="32"/>
          <w:szCs w:val="32"/>
        </w:rPr>
        <w:t>数字证书办理地址：</w:t>
      </w:r>
      <w:r>
        <w:rPr>
          <w:rFonts w:hint="default" w:ascii="Times New Roman" w:hAnsi="Times New Roman" w:eastAsia="仿宋_GB2312" w:cs="Times New Roman"/>
          <w:color w:val="000000"/>
          <w:sz w:val="32"/>
          <w:szCs w:val="32"/>
        </w:rPr>
        <w:t>惠州市江北云山西路二号帝景国际商务中心七层18-22房。</w:t>
      </w:r>
    </w:p>
    <w:p>
      <w:pPr>
        <w:keepNext w:val="0"/>
        <w:keepLines w:val="0"/>
        <w:pageBreakBefore w:val="0"/>
        <w:kinsoku/>
        <w:wordWrap/>
        <w:overflowPunct/>
        <w:topLinePunct w:val="0"/>
        <w:autoSpaceDE/>
        <w:autoSpaceDN/>
        <w:bidi w:val="0"/>
        <w:spacing w:line="560" w:lineRule="exact"/>
        <w:ind w:firstLine="55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联系电话：0752-2898481</w:t>
      </w:r>
    </w:p>
    <w:p>
      <w:pPr>
        <w:spacing w:line="520" w:lineRule="exact"/>
        <w:ind w:right="640" w:firstLine="5033" w:firstLineChars="1573"/>
        <w:rPr>
          <w:rFonts w:hint="default" w:ascii="Times New Roman" w:hAnsi="Times New Roman" w:eastAsia="仿宋_GB2312" w:cs="Times New Roman"/>
          <w:sz w:val="32"/>
          <w:szCs w:val="32"/>
        </w:rPr>
      </w:pPr>
    </w:p>
    <w:p>
      <w:pPr>
        <w:spacing w:line="520" w:lineRule="exact"/>
        <w:ind w:right="640" w:firstLine="5033" w:firstLineChars="1573"/>
        <w:rPr>
          <w:rFonts w:hint="default" w:ascii="Times New Roman" w:hAnsi="Times New Roman" w:eastAsia="仿宋_GB2312" w:cs="Times New Roman"/>
          <w:sz w:val="32"/>
          <w:szCs w:val="32"/>
        </w:rPr>
      </w:pPr>
    </w:p>
    <w:p>
      <w:pPr>
        <w:spacing w:line="520" w:lineRule="exact"/>
        <w:ind w:right="640" w:firstLine="5033" w:firstLineChars="1573"/>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惠州市自然资源局</w:t>
      </w:r>
    </w:p>
    <w:p>
      <w:pPr>
        <w:spacing w:line="520" w:lineRule="exact"/>
        <w:ind w:right="640" w:firstLine="4640" w:firstLineChars="14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惠州市公共资源交易中心</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2020年11月18日</w:t>
      </w:r>
    </w:p>
    <w:p>
      <w:pPr>
        <w:spacing w:line="360" w:lineRule="auto"/>
        <w:rPr>
          <w:rFonts w:hint="eastAsia" w:ascii="仿宋_GB2312" w:eastAsia="仿宋_GB2312"/>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tbl>
      <w:tblPr>
        <w:tblStyle w:val="8"/>
        <w:tblW w:w="11136" w:type="dxa"/>
        <w:jc w:val="center"/>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10"/>
        <w:gridCol w:w="885"/>
        <w:gridCol w:w="765"/>
        <w:gridCol w:w="780"/>
        <w:gridCol w:w="975"/>
        <w:gridCol w:w="720"/>
        <w:gridCol w:w="765"/>
        <w:gridCol w:w="1095"/>
        <w:gridCol w:w="1059"/>
        <w:gridCol w:w="654"/>
        <w:gridCol w:w="594"/>
        <w:gridCol w:w="672"/>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6" w:hRule="atLeast"/>
          <w:jc w:val="center"/>
        </w:trPr>
        <w:tc>
          <w:tcPr>
            <w:tcW w:w="798"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51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88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76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78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534" w:type="dxa"/>
            <w:gridSpan w:val="8"/>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864"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798" w:type="dxa"/>
            <w:vMerge w:val="continue"/>
            <w:vAlign w:val="center"/>
          </w:tcPr>
          <w:p>
            <w:pPr>
              <w:adjustRightInd w:val="0"/>
              <w:snapToGrid w:val="0"/>
              <w:spacing w:line="320" w:lineRule="exact"/>
              <w:jc w:val="center"/>
              <w:rPr>
                <w:rFonts w:hint="eastAsia" w:ascii="仿宋_GB2312" w:eastAsia="仿宋_GB2312"/>
                <w:b/>
                <w:bCs/>
              </w:rPr>
            </w:pPr>
          </w:p>
        </w:tc>
        <w:tc>
          <w:tcPr>
            <w:tcW w:w="510" w:type="dxa"/>
            <w:vMerge w:val="continue"/>
            <w:vAlign w:val="center"/>
          </w:tcPr>
          <w:p>
            <w:pPr>
              <w:adjustRightInd w:val="0"/>
              <w:snapToGrid w:val="0"/>
              <w:spacing w:line="320" w:lineRule="exact"/>
              <w:jc w:val="center"/>
              <w:rPr>
                <w:rFonts w:hint="eastAsia" w:ascii="仿宋_GB2312" w:eastAsia="仿宋_GB2312"/>
                <w:b/>
                <w:bCs/>
              </w:rPr>
            </w:pPr>
          </w:p>
        </w:tc>
        <w:tc>
          <w:tcPr>
            <w:tcW w:w="885" w:type="dxa"/>
            <w:vMerge w:val="continue"/>
            <w:vAlign w:val="center"/>
          </w:tcPr>
          <w:p>
            <w:pPr>
              <w:adjustRightInd w:val="0"/>
              <w:snapToGrid w:val="0"/>
              <w:spacing w:line="320" w:lineRule="exact"/>
              <w:jc w:val="center"/>
              <w:rPr>
                <w:rFonts w:hint="eastAsia" w:ascii="仿宋_GB2312" w:eastAsia="仿宋_GB2312"/>
                <w:b/>
                <w:bCs/>
              </w:rPr>
            </w:pPr>
          </w:p>
        </w:tc>
        <w:tc>
          <w:tcPr>
            <w:tcW w:w="765" w:type="dxa"/>
            <w:vMerge w:val="continue"/>
            <w:vAlign w:val="center"/>
          </w:tcPr>
          <w:p>
            <w:pPr>
              <w:adjustRightInd w:val="0"/>
              <w:snapToGrid w:val="0"/>
              <w:spacing w:line="320" w:lineRule="exact"/>
              <w:jc w:val="center"/>
              <w:rPr>
                <w:rFonts w:hint="eastAsia" w:ascii="仿宋_GB2312" w:eastAsia="仿宋_GB2312"/>
                <w:b/>
                <w:bCs/>
              </w:rPr>
            </w:pPr>
          </w:p>
        </w:tc>
        <w:tc>
          <w:tcPr>
            <w:tcW w:w="780" w:type="dxa"/>
            <w:vMerge w:val="continue"/>
            <w:vAlign w:val="center"/>
          </w:tcPr>
          <w:p>
            <w:pPr>
              <w:adjustRightInd w:val="0"/>
              <w:snapToGrid w:val="0"/>
              <w:spacing w:line="320" w:lineRule="exact"/>
              <w:jc w:val="center"/>
              <w:rPr>
                <w:rFonts w:hint="eastAsia" w:ascii="仿宋_GB2312" w:eastAsia="仿宋_GB2312"/>
                <w:b/>
                <w:bCs/>
              </w:rPr>
            </w:pPr>
          </w:p>
        </w:tc>
        <w:tc>
          <w:tcPr>
            <w:tcW w:w="975"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2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建筑密度</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765"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095"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059"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654"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ascii="仿宋_GB2312" w:eastAsia="仿宋_GB2312"/>
                <w:b/>
                <w:bCs/>
              </w:rPr>
            </w:pPr>
            <w:r>
              <w:rPr>
                <w:rFonts w:hint="eastAsia" w:ascii="宋体" w:hAnsi="宋体" w:cs="宋体"/>
                <w:b/>
                <w:szCs w:val="21"/>
              </w:rPr>
              <w:t>（％）</w:t>
            </w:r>
          </w:p>
        </w:tc>
        <w:tc>
          <w:tcPr>
            <w:tcW w:w="594" w:type="dxa"/>
            <w:vAlign w:val="center"/>
          </w:tcPr>
          <w:p>
            <w:pPr>
              <w:spacing w:line="320" w:lineRule="exact"/>
              <w:ind w:left="44" w:right="-53" w:rightChars="-25" w:hanging="44" w:hangingChars="21"/>
              <w:jc w:val="center"/>
              <w:rPr>
                <w:rFonts w:hint="eastAsia" w:ascii="仿宋_GB2312" w:eastAsia="仿宋_GB2312"/>
                <w:b/>
                <w:bCs/>
              </w:rPr>
            </w:pPr>
          </w:p>
          <w:p>
            <w:pPr>
              <w:autoSpaceDE w:val="0"/>
              <w:autoSpaceDN w:val="0"/>
              <w:adjustRightInd w:val="0"/>
              <w:spacing w:line="240" w:lineRule="exact"/>
              <w:jc w:val="center"/>
              <w:rPr>
                <w:rFonts w:hint="eastAsia" w:ascii="仿宋_GB2312" w:eastAsia="仿宋_GB2312"/>
                <w:b/>
                <w:bCs/>
                <w:lang w:eastAsia="zh-CN"/>
              </w:rPr>
            </w:pPr>
            <w:r>
              <w:rPr>
                <w:rFonts w:hint="eastAsia" w:eastAsia="仿宋_GB2312"/>
                <w:b/>
                <w:szCs w:val="21"/>
              </w:rPr>
              <w:t>建筑</w:t>
            </w:r>
            <w:r>
              <w:rPr>
                <w:rFonts w:hint="eastAsia" w:eastAsia="仿宋_GB2312"/>
                <w:b/>
                <w:szCs w:val="21"/>
                <w:lang w:eastAsia="zh-CN"/>
              </w:rPr>
              <w:t>高度控制</w:t>
            </w:r>
          </w:p>
        </w:tc>
        <w:tc>
          <w:tcPr>
            <w:tcW w:w="672" w:type="dxa"/>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szCs w:val="21"/>
              </w:rPr>
              <w:t>适建性</w:t>
            </w:r>
          </w:p>
        </w:tc>
        <w:tc>
          <w:tcPr>
            <w:tcW w:w="864"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798" w:type="dxa"/>
            <w:tcMar>
              <w:left w:w="0" w:type="dxa"/>
              <w:right w:w="0" w:type="dxa"/>
            </w:tcMar>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GP2020-49</w:t>
            </w:r>
          </w:p>
        </w:tc>
        <w:tc>
          <w:tcPr>
            <w:tcW w:w="510" w:type="dxa"/>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惠州市</w:t>
            </w:r>
            <w:bookmarkStart w:id="0" w:name="_GoBack"/>
            <w:bookmarkEnd w:id="0"/>
            <w:r>
              <w:rPr>
                <w:rFonts w:hint="eastAsia" w:ascii="仿宋_GB2312" w:eastAsia="仿宋_GB2312"/>
                <w:szCs w:val="21"/>
                <w:lang w:val="en-US" w:eastAsia="zh-CN"/>
              </w:rPr>
              <w:t>惠城区江北中心区</w:t>
            </w:r>
          </w:p>
        </w:tc>
        <w:tc>
          <w:tcPr>
            <w:tcW w:w="885" w:type="dxa"/>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JBN-16-02-01</w:t>
            </w:r>
          </w:p>
        </w:tc>
        <w:tc>
          <w:tcPr>
            <w:tcW w:w="765" w:type="dxa"/>
            <w:tcMar>
              <w:left w:w="0" w:type="dxa"/>
              <w:right w:w="0" w:type="dxa"/>
            </w:tcMar>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交通服务场站用地及商服用地</w:t>
            </w:r>
          </w:p>
        </w:tc>
        <w:tc>
          <w:tcPr>
            <w:tcW w:w="780" w:type="dxa"/>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1751.69</w:t>
            </w:r>
          </w:p>
        </w:tc>
        <w:tc>
          <w:tcPr>
            <w:tcW w:w="975" w:type="dxa"/>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2606.87</w:t>
            </w:r>
          </w:p>
        </w:tc>
        <w:tc>
          <w:tcPr>
            <w:tcW w:w="720" w:type="dxa"/>
            <w:vAlign w:val="center"/>
          </w:tcPr>
          <w:p>
            <w:pPr>
              <w:jc w:val="center"/>
              <w:rPr>
                <w:rFonts w:hint="default" w:ascii="仿宋_GB2312" w:eastAsia="仿宋_GB2312"/>
                <w:szCs w:val="21"/>
                <w:lang w:val="en-US" w:eastAsia="zh-CN"/>
              </w:rPr>
            </w:pPr>
            <w:r>
              <w:rPr>
                <w:rFonts w:hint="default" w:ascii="仿宋_GB2312" w:eastAsia="仿宋_GB2312"/>
                <w:szCs w:val="21"/>
                <w:lang w:val="en-US" w:eastAsia="zh-CN"/>
              </w:rPr>
              <w:t>≤</w:t>
            </w:r>
            <w:r>
              <w:rPr>
                <w:rFonts w:hint="eastAsia" w:ascii="仿宋_GB2312" w:eastAsia="仿宋_GB2312"/>
                <w:szCs w:val="21"/>
                <w:lang w:val="en-US" w:eastAsia="zh-CN"/>
              </w:rPr>
              <w:t>67</w:t>
            </w:r>
          </w:p>
        </w:tc>
        <w:tc>
          <w:tcPr>
            <w:tcW w:w="765" w:type="dxa"/>
            <w:vAlign w:val="center"/>
          </w:tcPr>
          <w:p>
            <w:pPr>
              <w:jc w:val="center"/>
              <w:rPr>
                <w:rFonts w:hint="default" w:ascii="仿宋_GB2312" w:eastAsia="仿宋_GB2312"/>
                <w:szCs w:val="21"/>
                <w:lang w:val="en-US" w:eastAsia="zh-CN"/>
              </w:rPr>
            </w:pPr>
            <w:r>
              <w:rPr>
                <w:rFonts w:hint="default" w:ascii="仿宋_GB2312" w:eastAsia="仿宋_GB2312"/>
                <w:szCs w:val="21"/>
                <w:lang w:val="en-US" w:eastAsia="zh-CN"/>
              </w:rPr>
              <w:t>≤</w:t>
            </w:r>
            <w:r>
              <w:rPr>
                <w:rFonts w:hint="eastAsia" w:ascii="仿宋_GB2312" w:eastAsia="仿宋_GB2312"/>
                <w:szCs w:val="21"/>
                <w:lang w:val="en-US" w:eastAsia="zh-CN"/>
              </w:rPr>
              <w:t>4.0</w:t>
            </w:r>
          </w:p>
        </w:tc>
        <w:tc>
          <w:tcPr>
            <w:tcW w:w="1095" w:type="dxa"/>
            <w:vAlign w:val="center"/>
          </w:tcPr>
          <w:p>
            <w:pPr>
              <w:jc w:val="center"/>
              <w:rPr>
                <w:rFonts w:hint="default" w:ascii="仿宋_GB2312" w:eastAsia="仿宋_GB2312"/>
                <w:szCs w:val="21"/>
                <w:lang w:val="en-US" w:eastAsia="zh-CN"/>
              </w:rPr>
            </w:pPr>
            <w:r>
              <w:rPr>
                <w:rFonts w:hint="default" w:ascii="仿宋_GB2312" w:eastAsia="仿宋_GB2312"/>
                <w:szCs w:val="21"/>
                <w:lang w:val="en-US" w:eastAsia="zh-CN"/>
              </w:rPr>
              <w:t>≤1</w:t>
            </w:r>
            <w:r>
              <w:rPr>
                <w:rFonts w:hint="eastAsia" w:ascii="仿宋_GB2312" w:eastAsia="仿宋_GB2312"/>
                <w:szCs w:val="21"/>
                <w:lang w:val="en-US" w:eastAsia="zh-CN"/>
              </w:rPr>
              <w:t>0428</w:t>
            </w:r>
            <w:r>
              <w:rPr>
                <w:rFonts w:hint="default" w:ascii="仿宋_GB2312" w:eastAsia="仿宋_GB2312"/>
                <w:szCs w:val="21"/>
                <w:lang w:val="en-US" w:eastAsia="zh-CN"/>
              </w:rPr>
              <w:t>㎡(其中：</w:t>
            </w:r>
            <w:r>
              <w:rPr>
                <w:rFonts w:hint="eastAsia" w:ascii="仿宋_GB2312" w:eastAsia="仿宋_GB2312"/>
                <w:szCs w:val="21"/>
                <w:lang w:val="en-US" w:eastAsia="zh-CN"/>
              </w:rPr>
              <w:t>办公</w:t>
            </w:r>
            <w:r>
              <w:rPr>
                <w:rFonts w:hint="default" w:ascii="仿宋_GB2312" w:eastAsia="仿宋_GB2312"/>
                <w:szCs w:val="21"/>
                <w:lang w:val="en-US" w:eastAsia="zh-CN"/>
              </w:rPr>
              <w:t>建筑面积≤</w:t>
            </w:r>
            <w:r>
              <w:rPr>
                <w:rFonts w:hint="eastAsia" w:ascii="仿宋_GB2312" w:eastAsia="仿宋_GB2312"/>
                <w:szCs w:val="21"/>
                <w:lang w:val="en-US" w:eastAsia="zh-CN"/>
              </w:rPr>
              <w:t>3000</w:t>
            </w:r>
          </w:p>
        </w:tc>
        <w:tc>
          <w:tcPr>
            <w:tcW w:w="1059" w:type="dxa"/>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地上机械式停车位≥260个（其中办公配建停车位≥30个）</w:t>
            </w:r>
          </w:p>
        </w:tc>
        <w:tc>
          <w:tcPr>
            <w:tcW w:w="654" w:type="dxa"/>
            <w:vAlign w:val="center"/>
          </w:tcPr>
          <w:p>
            <w:pPr>
              <w:jc w:val="center"/>
              <w:rPr>
                <w:rFonts w:hint="default" w:ascii="仿宋_GB2312" w:eastAsia="仿宋_GB2312"/>
                <w:szCs w:val="21"/>
                <w:lang w:val="en-US" w:eastAsia="zh-CN"/>
              </w:rPr>
            </w:pPr>
            <w:r>
              <w:rPr>
                <w:rFonts w:hint="default" w:ascii="仿宋_GB2312" w:eastAsia="仿宋_GB2312"/>
                <w:szCs w:val="21"/>
                <w:lang w:val="en-US" w:eastAsia="zh-CN"/>
              </w:rPr>
              <w:t>≥</w:t>
            </w:r>
            <w:r>
              <w:rPr>
                <w:rFonts w:hint="eastAsia" w:ascii="仿宋_GB2312" w:eastAsia="仿宋_GB2312"/>
                <w:szCs w:val="21"/>
                <w:lang w:val="en-US" w:eastAsia="zh-CN"/>
              </w:rPr>
              <w:t>20</w:t>
            </w:r>
          </w:p>
        </w:tc>
        <w:tc>
          <w:tcPr>
            <w:tcW w:w="594" w:type="dxa"/>
            <w:vAlign w:val="center"/>
          </w:tcPr>
          <w:p>
            <w:pPr>
              <w:jc w:val="center"/>
              <w:rPr>
                <w:rFonts w:hint="eastAsia" w:ascii="仿宋_GB2312" w:eastAsia="仿宋_GB2312"/>
                <w:szCs w:val="21"/>
                <w:lang w:val="en-US" w:eastAsia="zh-CN"/>
              </w:rPr>
            </w:pPr>
            <w:r>
              <w:rPr>
                <w:rFonts w:hint="default" w:ascii="仿宋_GB2312" w:eastAsia="仿宋_GB2312"/>
                <w:szCs w:val="21"/>
                <w:lang w:val="en-US" w:eastAsia="zh-CN"/>
              </w:rPr>
              <w:t>≤</w:t>
            </w:r>
            <w:r>
              <w:rPr>
                <w:rFonts w:hint="eastAsia" w:ascii="仿宋_GB2312" w:eastAsia="仿宋_GB2312"/>
                <w:szCs w:val="21"/>
                <w:lang w:val="en-US" w:eastAsia="zh-CN"/>
              </w:rPr>
              <w:t>24m</w:t>
            </w:r>
          </w:p>
        </w:tc>
        <w:tc>
          <w:tcPr>
            <w:tcW w:w="672" w:type="dxa"/>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办公及社会停车库</w:t>
            </w:r>
          </w:p>
        </w:tc>
        <w:tc>
          <w:tcPr>
            <w:tcW w:w="864" w:type="dxa"/>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交通服务场站用地50年、商服用地40年</w:t>
            </w:r>
          </w:p>
        </w:tc>
      </w:tr>
    </w:tbl>
    <w:p>
      <w:pPr>
        <w:tabs>
          <w:tab w:val="left" w:pos="11340"/>
        </w:tabs>
        <w:spacing w:line="600" w:lineRule="exact"/>
        <w:rPr>
          <w:rFonts w:hint="eastAsia" w:ascii="仿宋_GB2312" w:eastAsia="仿宋_GB2312"/>
          <w:sz w:val="32"/>
          <w:szCs w:val="32"/>
        </w:rPr>
      </w:pPr>
    </w:p>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- 9 -</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747C6E"/>
    <w:rsid w:val="029A2309"/>
    <w:rsid w:val="08BB643C"/>
    <w:rsid w:val="17B6209E"/>
    <w:rsid w:val="18EC3553"/>
    <w:rsid w:val="1E4720A6"/>
    <w:rsid w:val="21DD25D4"/>
    <w:rsid w:val="3F4112CE"/>
    <w:rsid w:val="49B43499"/>
    <w:rsid w:val="4D6C2C10"/>
    <w:rsid w:val="524E267B"/>
    <w:rsid w:val="57F224D9"/>
    <w:rsid w:val="5BB53EEB"/>
    <w:rsid w:val="69195765"/>
    <w:rsid w:val="6C747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17</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2020-11-17T08:28:00Z</dcterms:created>
  <dc:creator>Administrator</dc:creator>
  <cp:lastModifiedBy>黄春枚</cp:lastModifiedBy>
  <cp:lastPrinted>2020-11-18T02:54:00Z</cp:lastPrinted>
  <dcterms:modified xsi:type="dcterms:W3CDTF">2020-11-18T08:47:09Z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