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jc w:val="both"/>
        <w:rPr>
          <w:rFonts w:hint="default" w:ascii="Times New Roman" w:hAnsi="Times New Roman" w:eastAsia="方正小标宋_GBK" w:cs="Times New Roman"/>
          <w:b/>
          <w:bCs/>
          <w:spacing w:val="3"/>
          <w:sz w:val="44"/>
          <w:szCs w:val="44"/>
        </w:rPr>
      </w:pPr>
    </w:p>
    <w:p>
      <w:pPr>
        <w:tabs>
          <w:tab w:val="left" w:pos="11340"/>
        </w:tabs>
        <w:spacing w:line="520" w:lineRule="exact"/>
        <w:jc w:val="both"/>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pacing w:val="3"/>
          <w:sz w:val="44"/>
          <w:szCs w:val="44"/>
        </w:rPr>
        <w:t>惠州市国有建设用地使用权网上挂牌</w:t>
      </w:r>
      <w:r>
        <w:rPr>
          <w:rFonts w:hint="default" w:ascii="Times New Roman" w:hAnsi="Times New Roman" w:eastAsia="方正小标宋_GBK" w:cs="Times New Roman"/>
          <w:b/>
          <w:bCs/>
          <w:sz w:val="44"/>
          <w:szCs w:val="44"/>
        </w:rPr>
        <w:t>出让公告</w:t>
      </w:r>
    </w:p>
    <w:p>
      <w:pPr>
        <w:pStyle w:val="2"/>
        <w:ind w:left="0" w:leftChars="0" w:firstLine="0" w:firstLineChars="0"/>
        <w:jc w:val="center"/>
        <w:rPr>
          <w:rFonts w:hint="default"/>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号</w:t>
      </w:r>
    </w:p>
    <w:p>
      <w:pPr>
        <w:spacing w:line="520" w:lineRule="exact"/>
        <w:ind w:firstLine="360" w:firstLineChars="200"/>
        <w:rPr>
          <w:rFonts w:hint="default" w:ascii="Times New Roman" w:hAnsi="Times New Roman" w:eastAsia="仿宋_GB2312" w:cs="Times New Roman"/>
          <w:sz w:val="18"/>
          <w:szCs w:val="18"/>
        </w:rPr>
      </w:pPr>
    </w:p>
    <w:p>
      <w:pPr>
        <w:spacing w:line="520" w:lineRule="exact"/>
        <w:ind w:firstLine="640"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spacing w:line="520" w:lineRule="exact"/>
        <w:ind w:firstLine="720" w:firstLineChars="225"/>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一、网上挂牌出让地块基本情况及规划指标要求（见附表）</w:t>
      </w:r>
    </w:p>
    <w:p>
      <w:pPr>
        <w:spacing w:line="520" w:lineRule="exact"/>
        <w:ind w:firstLine="720" w:firstLineChars="225"/>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二、网上挂牌竞买时间为2020年</w:t>
      </w:r>
      <w:r>
        <w:rPr>
          <w:rFonts w:hint="eastAsia" w:ascii="仿宋_GB2312" w:hAnsi="仿宋_GB2312" w:eastAsia="仿宋_GB2312" w:cs="仿宋_GB2312"/>
          <w:kern w:val="2"/>
          <w:sz w:val="32"/>
          <w:szCs w:val="32"/>
          <w:lang w:val="en-US" w:eastAsia="zh-CN" w:bidi="ar-SA"/>
        </w:rPr>
        <w:t>12</w:t>
      </w:r>
      <w:r>
        <w:rPr>
          <w:rFonts w:hint="default"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lang w:val="en-US" w:eastAsia="zh-CN" w:bidi="ar-SA"/>
        </w:rPr>
        <w:t>24</w:t>
      </w:r>
      <w:r>
        <w:rPr>
          <w:rFonts w:hint="default" w:ascii="仿宋_GB2312" w:hAnsi="仿宋_GB2312" w:eastAsia="仿宋_GB2312" w:cs="仿宋_GB2312"/>
          <w:kern w:val="2"/>
          <w:sz w:val="32"/>
          <w:szCs w:val="32"/>
          <w:lang w:val="en-US" w:eastAsia="zh-CN" w:bidi="ar-SA"/>
        </w:rPr>
        <w:t>日</w:t>
      </w:r>
      <w:r>
        <w:rPr>
          <w:rFonts w:hint="eastAsia" w:ascii="仿宋_GB2312" w:hAnsi="仿宋_GB2312" w:eastAsia="仿宋_GB2312" w:cs="仿宋_GB2312"/>
          <w:kern w:val="2"/>
          <w:sz w:val="32"/>
          <w:szCs w:val="32"/>
          <w:lang w:val="en-US" w:eastAsia="zh-CN" w:bidi="ar-SA"/>
        </w:rPr>
        <w:t>9</w:t>
      </w:r>
      <w:r>
        <w:rPr>
          <w:rFonts w:hint="default" w:ascii="仿宋_GB2312" w:hAnsi="仿宋_GB2312" w:eastAsia="仿宋_GB2312" w:cs="仿宋_GB2312"/>
          <w:kern w:val="2"/>
          <w:sz w:val="32"/>
          <w:szCs w:val="32"/>
          <w:lang w:val="en-US" w:eastAsia="zh-CN" w:bidi="ar-SA"/>
        </w:rPr>
        <w:t>时至202</w:t>
      </w: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lang w:val="en-US" w:eastAsia="zh-CN" w:bidi="ar-SA"/>
        </w:rPr>
        <w:t>8</w:t>
      </w:r>
      <w:r>
        <w:rPr>
          <w:rFonts w:hint="default" w:ascii="仿宋_GB2312" w:hAnsi="仿宋_GB2312" w:eastAsia="仿宋_GB2312" w:cs="仿宋_GB2312"/>
          <w:kern w:val="2"/>
          <w:sz w:val="32"/>
          <w:szCs w:val="32"/>
          <w:lang w:val="en-US" w:eastAsia="zh-CN" w:bidi="ar-SA"/>
        </w:rPr>
        <w:t>日</w:t>
      </w:r>
      <w:r>
        <w:rPr>
          <w:rFonts w:hint="eastAsia" w:ascii="仿宋_GB2312" w:hAnsi="仿宋_GB2312" w:eastAsia="仿宋_GB2312" w:cs="仿宋_GB2312"/>
          <w:kern w:val="2"/>
          <w:sz w:val="32"/>
          <w:szCs w:val="32"/>
          <w:lang w:val="en-US" w:eastAsia="zh-CN" w:bidi="ar-SA"/>
        </w:rPr>
        <w:t>10</w:t>
      </w:r>
      <w:r>
        <w:rPr>
          <w:rFonts w:hint="default" w:ascii="仿宋_GB2312" w:hAnsi="仿宋_GB2312" w:eastAsia="仿宋_GB2312" w:cs="仿宋_GB2312"/>
          <w:kern w:val="2"/>
          <w:sz w:val="32"/>
          <w:szCs w:val="32"/>
          <w:lang w:val="en-US" w:eastAsia="zh-CN" w:bidi="ar-SA"/>
        </w:rPr>
        <w:t>时。</w:t>
      </w:r>
    </w:p>
    <w:p>
      <w:pPr>
        <w:spacing w:line="520" w:lineRule="exact"/>
        <w:ind w:firstLine="720" w:firstLineChars="225"/>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三、挂牌起始价为人民币</w:t>
      </w:r>
      <w:r>
        <w:rPr>
          <w:rFonts w:hint="eastAsia" w:ascii="仿宋_GB2312" w:hAnsi="仿宋_GB2312" w:eastAsia="仿宋_GB2312" w:cs="仿宋_GB2312"/>
          <w:kern w:val="2"/>
          <w:sz w:val="32"/>
          <w:szCs w:val="32"/>
          <w:lang w:val="en-US" w:eastAsia="zh-CN" w:bidi="ar-SA"/>
        </w:rPr>
        <w:t>920</w:t>
      </w:r>
      <w:r>
        <w:rPr>
          <w:rFonts w:hint="default" w:ascii="仿宋_GB2312" w:hAnsi="仿宋_GB2312" w:eastAsia="仿宋_GB2312" w:cs="仿宋_GB2312"/>
          <w:kern w:val="2"/>
          <w:sz w:val="32"/>
          <w:szCs w:val="32"/>
          <w:lang w:val="en-US" w:eastAsia="zh-CN" w:bidi="ar-SA"/>
        </w:rPr>
        <w:t>万元,每次报价加价幅度为人民币</w:t>
      </w:r>
      <w:r>
        <w:rPr>
          <w:rFonts w:hint="eastAsia" w:ascii="仿宋_GB2312" w:hAnsi="仿宋_GB2312"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0万元的整数倍。</w:t>
      </w:r>
    </w:p>
    <w:p>
      <w:pPr>
        <w:spacing w:line="520" w:lineRule="exact"/>
        <w:ind w:firstLine="720" w:firstLineChars="225"/>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四、中华人民共和国境内外的法人、自然人和其他组织（除法律法规另有规定外）均可申请参加竞买。申请人可以单独申请，也可以联合申请：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（一）单独申请竞买的，竞买申请人为非本市注册登记的企业，在竞得土地后，必须于2个月内在本市工商行政管理部门注册成立项目开发公司，并以该公司名义办理土地出让与登记发证手续。</w:t>
      </w:r>
      <w:r>
        <w:rPr>
          <w:rFonts w:hint="eastAsia" w:ascii="仿宋_GB2312" w:hAnsi="仿宋_GB2312" w:eastAsia="仿宋_GB2312" w:cs="仿宋_GB2312"/>
          <w:kern w:val="2"/>
          <w:sz w:val="32"/>
          <w:szCs w:val="32"/>
          <w:lang w:val="en-US" w:eastAsia="zh-CN" w:bidi="ar-SA"/>
        </w:rPr>
        <w:t>新成立公司必须是竞得人的全资子公司（即竞得人必须是新公司的唯一股东）</w:t>
      </w:r>
      <w:r>
        <w:rPr>
          <w:rFonts w:hint="default" w:ascii="仿宋_GB2312" w:hAnsi="仿宋_GB2312" w:eastAsia="仿宋_GB2312" w:cs="仿宋_GB2312"/>
          <w:kern w:val="2"/>
          <w:sz w:val="32"/>
          <w:szCs w:val="32"/>
          <w:lang w:val="en-US" w:eastAsia="zh-CN" w:bidi="ar-SA"/>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五、该宗地竞买保证金可用人民币及外币（暂限于美元、港币）支付。</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六、申请人应具备的其他条件：</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（一）缴交竞买保证金</w:t>
      </w:r>
      <w:r>
        <w:rPr>
          <w:rFonts w:hint="eastAsia" w:ascii="仿宋_GB2312" w:hAnsi="仿宋_GB2312" w:eastAsia="仿宋_GB2312" w:cs="仿宋_GB2312"/>
          <w:kern w:val="2"/>
          <w:sz w:val="32"/>
          <w:szCs w:val="32"/>
          <w:lang w:val="en-US" w:eastAsia="zh-CN" w:bidi="ar-SA"/>
        </w:rPr>
        <w:t>184</w:t>
      </w:r>
      <w:r>
        <w:rPr>
          <w:rFonts w:hint="default" w:ascii="仿宋_GB2312" w:hAnsi="仿宋_GB2312" w:eastAsia="仿宋_GB2312" w:cs="仿宋_GB2312"/>
          <w:kern w:val="2"/>
          <w:sz w:val="32"/>
          <w:szCs w:val="32"/>
          <w:lang w:val="en-US" w:eastAsia="zh-CN" w:bidi="ar-SA"/>
        </w:rPr>
        <w:t>万元人民币，如以外币缴交竞买保证金的，须缴交美元</w:t>
      </w:r>
      <w:r>
        <w:rPr>
          <w:rFonts w:hint="eastAsia" w:ascii="仿宋_GB2312" w:hAnsi="仿宋_GB2312" w:eastAsia="仿宋_GB2312" w:cs="仿宋_GB2312"/>
          <w:kern w:val="2"/>
          <w:sz w:val="32"/>
          <w:szCs w:val="32"/>
          <w:lang w:val="en-US" w:eastAsia="zh-CN" w:bidi="ar-SA"/>
        </w:rPr>
        <w:t>28</w:t>
      </w:r>
      <w:r>
        <w:rPr>
          <w:rFonts w:hint="default" w:ascii="仿宋_GB2312" w:hAnsi="仿宋_GB2312" w:eastAsia="仿宋_GB2312" w:cs="仿宋_GB2312"/>
          <w:kern w:val="2"/>
          <w:sz w:val="32"/>
          <w:szCs w:val="32"/>
          <w:lang w:val="en-US" w:eastAsia="zh-CN" w:bidi="ar-SA"/>
        </w:rPr>
        <w:t>万元或港币</w:t>
      </w:r>
      <w:r>
        <w:rPr>
          <w:rFonts w:hint="eastAsia" w:ascii="仿宋_GB2312" w:hAnsi="仿宋_GB2312" w:eastAsia="仿宋_GB2312" w:cs="仿宋_GB2312"/>
          <w:kern w:val="2"/>
          <w:sz w:val="32"/>
          <w:szCs w:val="32"/>
          <w:lang w:val="en-US" w:eastAsia="zh-CN" w:bidi="ar-SA"/>
        </w:rPr>
        <w:t>217</w:t>
      </w:r>
      <w:r>
        <w:rPr>
          <w:rFonts w:hint="default" w:ascii="仿宋_GB2312" w:hAnsi="仿宋_GB2312" w:eastAsia="仿宋_GB2312" w:cs="仿宋_GB2312"/>
          <w:kern w:val="2"/>
          <w:sz w:val="32"/>
          <w:szCs w:val="32"/>
          <w:lang w:val="en-US" w:eastAsia="zh-CN" w:bidi="ar-SA"/>
        </w:rPr>
        <w:t>万元。</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（二）竞得人在用地红线内开发建设必须符合城市规划要求，必须按</w:t>
      </w:r>
      <w:r>
        <w:rPr>
          <w:rFonts w:hint="eastAsia" w:ascii="仿宋_GB2312" w:hAnsi="仿宋_GB2312" w:eastAsia="仿宋_GB2312" w:cs="仿宋_GB2312"/>
          <w:kern w:val="2"/>
          <w:sz w:val="32"/>
          <w:szCs w:val="32"/>
          <w:lang w:val="en-US" w:eastAsia="zh-CN" w:bidi="ar-SA"/>
        </w:rPr>
        <w:t>《建设用地规划设计条件》</w:t>
      </w:r>
      <w:r>
        <w:rPr>
          <w:rFonts w:hint="default" w:ascii="仿宋_GB2312" w:hAnsi="仿宋_GB2312" w:eastAsia="仿宋_GB2312" w:cs="仿宋_GB2312"/>
          <w:kern w:val="2"/>
          <w:sz w:val="32"/>
          <w:szCs w:val="32"/>
          <w:lang w:val="en-US" w:eastAsia="zh-CN" w:bidi="ar-SA"/>
        </w:rPr>
        <w:t>（案卷编号：PB20200</w:t>
      </w:r>
      <w:r>
        <w:rPr>
          <w:rFonts w:hint="eastAsia" w:ascii="仿宋_GB2312" w:hAnsi="仿宋_GB2312" w:eastAsia="仿宋_GB2312" w:cs="仿宋_GB2312"/>
          <w:kern w:val="2"/>
          <w:sz w:val="32"/>
          <w:szCs w:val="32"/>
          <w:lang w:val="en-US" w:eastAsia="zh-CN" w:bidi="ar-SA"/>
        </w:rPr>
        <w:t>068</w:t>
      </w:r>
      <w:r>
        <w:rPr>
          <w:rFonts w:hint="default" w:ascii="仿宋_GB2312" w:hAnsi="仿宋_GB2312" w:eastAsia="仿宋_GB2312" w:cs="仿宋_GB2312"/>
          <w:kern w:val="2"/>
          <w:sz w:val="32"/>
          <w:szCs w:val="32"/>
          <w:lang w:val="en-US" w:eastAsia="zh-CN" w:bidi="ar-SA"/>
        </w:rPr>
        <w:t>）规划控制指标要求及有关规定进行规划设计。</w:t>
      </w:r>
    </w:p>
    <w:p>
      <w:pPr>
        <w:pStyle w:val="9"/>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（三）取得桥西片区丰湖书院FH-01号（地下空间）地块土地使用权人应按照《建设用地规划设计条件》的规划要求配建相关的配套设施。</w:t>
      </w:r>
    </w:p>
    <w:p>
      <w:pPr>
        <w:pStyle w:val="9"/>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（四）地面公园由地块取得者负责建设并无偿移交给政府相关部门，公园景观应与周边西湖景观相协调，并与地下停车库同步规划、同步建设、同步验收交付使用。</w:t>
      </w:r>
    </w:p>
    <w:p>
      <w:pPr>
        <w:keepNext w:val="0"/>
        <w:keepLines w:val="0"/>
        <w:pageBreakBefore w:val="0"/>
        <w:kinsoku/>
        <w:wordWrap/>
        <w:overflowPunct/>
        <w:topLinePunct w:val="0"/>
        <w:autoSpaceDE w:val="0"/>
        <w:autoSpaceDN w:val="0"/>
        <w:bidi w:val="0"/>
        <w:adjustRightInd/>
        <w:snapToGrid/>
        <w:spacing w:line="560" w:lineRule="exact"/>
        <w:ind w:firstLine="63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（五）地块土地使用权人在建设前应依照有关法律和法规的规定，经风景区名胜区管理机构审核后，报有关主管部门办理临时使用手续，建设时采取有效措施保护好生态环境，建成后恢复原状。</w:t>
      </w:r>
    </w:p>
    <w:p>
      <w:pPr>
        <w:keepNext w:val="0"/>
        <w:keepLines w:val="0"/>
        <w:pageBreakBefore w:val="0"/>
        <w:widowControl/>
        <w:kinsoku/>
        <w:wordWrap/>
        <w:overflowPunct/>
        <w:topLinePunct w:val="0"/>
        <w:bidi w:val="0"/>
        <w:spacing w:line="560" w:lineRule="exact"/>
        <w:ind w:firstLine="618"/>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六</w:t>
      </w:r>
      <w:r>
        <w:rPr>
          <w:rFonts w:hint="default" w:ascii="仿宋_GB2312" w:hAnsi="仿宋_GB2312" w:eastAsia="仿宋_GB2312" w:cs="仿宋_GB2312"/>
          <w:kern w:val="2"/>
          <w:sz w:val="32"/>
          <w:szCs w:val="32"/>
          <w:lang w:val="en-US" w:eastAsia="zh-CN" w:bidi="ar-SA"/>
        </w:rPr>
        <w:t>）存在下列违法违规违约行为之一的企业及其控股股东，不得参与竞买上述地块：</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1、存在伪造公文骗取用地和非法倒卖土地等犯罪行为的；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2、存在非法转让土地使用权等违法行为的；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3、因企业原因造成土地闲置一年以上且至报名日止未处罚完结的；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5、至报名日止仍拖欠政府地价款的;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6、被列入问题楼盘开发企业黑名单的;</w:t>
      </w:r>
    </w:p>
    <w:p>
      <w:pPr>
        <w:pStyle w:val="3"/>
        <w:keepNext w:val="0"/>
        <w:keepLines w:val="0"/>
        <w:pageBreakBefore w:val="0"/>
        <w:widowControl w:val="0"/>
        <w:kinsoku/>
        <w:wordWrap/>
        <w:overflowPunct/>
        <w:topLinePunct w:val="0"/>
        <w:bidi w:val="0"/>
        <w:spacing w:before="0" w:line="560" w:lineRule="exact"/>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7、存在其它被禁止竞买土地行为的。</w:t>
      </w:r>
    </w:p>
    <w:p>
      <w:pPr>
        <w:keepNext w:val="0"/>
        <w:keepLines w:val="0"/>
        <w:pageBreakBefore w:val="0"/>
        <w:kinsoku/>
        <w:wordWrap/>
        <w:overflowPunct/>
        <w:topLinePunct w:val="0"/>
        <w:bidi w:val="0"/>
        <w:spacing w:line="560" w:lineRule="exact"/>
        <w:ind w:firstLine="555"/>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七、本次国有建设用地使用权网上挂牌出让为无底价挂牌出让，按照价高者得的原则确定竞得人。</w:t>
      </w:r>
    </w:p>
    <w:p>
      <w:pPr>
        <w:keepNext w:val="0"/>
        <w:keepLines w:val="0"/>
        <w:pageBreakBefore w:val="0"/>
        <w:kinsoku/>
        <w:wordWrap/>
        <w:overflowPunct/>
        <w:topLinePunct w:val="0"/>
        <w:bidi w:val="0"/>
        <w:spacing w:line="560" w:lineRule="exact"/>
        <w:ind w:firstLine="555"/>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八、本次网上挂牌出让的详细资料和具体要求，见惠州市公共资源交易中心土地与矿业网上挂牌交易系统（https://www.hzgtjy.com/）。申请人可在网上挂牌交易系统下载挂牌出让公告、须知及相关交易文件，并按上述文件规定的操作程序在网上参加竞买。</w:t>
      </w:r>
    </w:p>
    <w:p>
      <w:pPr>
        <w:keepNext w:val="0"/>
        <w:keepLines w:val="0"/>
        <w:pageBreakBefore w:val="0"/>
        <w:kinsoku/>
        <w:wordWrap/>
        <w:overflowPunct/>
        <w:topLinePunct w:val="0"/>
        <w:bidi w:val="0"/>
        <w:spacing w:line="560" w:lineRule="exact"/>
        <w:ind w:firstLine="555"/>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九、有意竞买者可以自行到地块现场踏勘（可在网上挂牌交易系统查阅位置图和现状图）。</w:t>
      </w:r>
    </w:p>
    <w:p>
      <w:pPr>
        <w:keepNext w:val="0"/>
        <w:keepLines w:val="0"/>
        <w:pageBreakBefore w:val="0"/>
        <w:kinsoku/>
        <w:wordWrap/>
        <w:overflowPunct/>
        <w:topLinePunct w:val="0"/>
        <w:bidi w:val="0"/>
        <w:spacing w:line="560" w:lineRule="exact"/>
        <w:ind w:firstLine="555"/>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十、申请人应当在网上挂牌出让结束前登陆惠州市公共资源交易中心土地与矿业网上挂牌交易系统并在系统上向惠州市公共资源交易中心提交竞买申请并支付保证金。网上挂牌保证金到账截止时间为202</w:t>
      </w: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lang w:val="en-US" w:eastAsia="zh-CN" w:bidi="ar-SA"/>
        </w:rPr>
        <w:t>8</w:t>
      </w:r>
      <w:r>
        <w:rPr>
          <w:rFonts w:hint="default" w:ascii="仿宋_GB2312" w:hAnsi="仿宋_GB2312" w:eastAsia="仿宋_GB2312" w:cs="仿宋_GB2312"/>
          <w:kern w:val="2"/>
          <w:sz w:val="32"/>
          <w:szCs w:val="32"/>
          <w:lang w:val="en-US" w:eastAsia="zh-CN" w:bidi="ar-SA"/>
        </w:rPr>
        <w:t>日</w:t>
      </w:r>
      <w:r>
        <w:rPr>
          <w:rFonts w:hint="eastAsia" w:ascii="仿宋_GB2312" w:hAnsi="仿宋_GB2312" w:eastAsia="仿宋_GB2312" w:cs="仿宋_GB2312"/>
          <w:kern w:val="2"/>
          <w:sz w:val="32"/>
          <w:szCs w:val="32"/>
          <w:lang w:val="en-US" w:eastAsia="zh-CN" w:bidi="ar-SA"/>
        </w:rPr>
        <w:t>上</w:t>
      </w:r>
      <w:r>
        <w:rPr>
          <w:rFonts w:hint="default" w:ascii="仿宋_GB2312" w:hAnsi="仿宋_GB2312" w:eastAsia="仿宋_GB2312" w:cs="仿宋_GB2312"/>
          <w:kern w:val="2"/>
          <w:sz w:val="32"/>
          <w:szCs w:val="32"/>
          <w:lang w:val="en-US" w:eastAsia="zh-CN" w:bidi="ar-SA"/>
        </w:rPr>
        <w:t>午</w:t>
      </w:r>
      <w:r>
        <w:rPr>
          <w:rFonts w:hint="eastAsia" w:ascii="仿宋_GB2312" w:hAnsi="仿宋_GB2312" w:eastAsia="仿宋_GB2312" w:cs="仿宋_GB2312"/>
          <w:kern w:val="2"/>
          <w:sz w:val="32"/>
          <w:szCs w:val="32"/>
          <w:lang w:val="en-US" w:eastAsia="zh-CN" w:bidi="ar-SA"/>
        </w:rPr>
        <w:t>9</w:t>
      </w:r>
      <w:r>
        <w:rPr>
          <w:rFonts w:hint="default" w:ascii="仿宋_GB2312" w:hAnsi="仿宋_GB2312" w:eastAsia="仿宋_GB2312" w:cs="仿宋_GB2312"/>
          <w:kern w:val="2"/>
          <w:sz w:val="32"/>
          <w:szCs w:val="32"/>
          <w:lang w:val="en-US" w:eastAsia="zh-CN" w:bidi="ar-SA"/>
        </w:rPr>
        <w:t>时止。网上挂牌报价时间截止时，经系统询问，有竞买人表示愿意继续竞价的，系统自动进入网上限时竞价程序，通过竞价确定竞得人。</w:t>
      </w:r>
    </w:p>
    <w:p>
      <w:pPr>
        <w:keepNext w:val="0"/>
        <w:keepLines w:val="0"/>
        <w:pageBreakBefore w:val="0"/>
        <w:kinsoku/>
        <w:wordWrap/>
        <w:overflowPunct/>
        <w:topLinePunct w:val="0"/>
        <w:bidi w:val="0"/>
        <w:spacing w:line="560" w:lineRule="exact"/>
        <w:ind w:firstLine="555"/>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bidi w:val="0"/>
        <w:spacing w:line="560" w:lineRule="exact"/>
        <w:ind w:firstLine="555"/>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十二、竞得人签订《成交确认书》后，缴交的保证金中按成交价的10%转作定金，竞得人签订《出让合同》后，定金转作土地出让价款。</w:t>
      </w:r>
    </w:p>
    <w:p>
      <w:pPr>
        <w:keepNext w:val="0"/>
        <w:keepLines w:val="0"/>
        <w:pageBreakBefore w:val="0"/>
        <w:kinsoku/>
        <w:wordWrap/>
        <w:overflowPunct/>
        <w:topLinePunct w:val="0"/>
        <w:bidi w:val="0"/>
        <w:spacing w:line="560" w:lineRule="exact"/>
        <w:ind w:firstLine="555"/>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以外币缴纳土地竞买保证金的，成交确认后，将在竞得人支付的外币保证金中扣除成交价款的10%（按成交当日汇率结汇）作为受让地块的定金，其余部分原路返回给竞得人，待竞得人按时缴清地价款后，再将定金退回。</w:t>
      </w:r>
    </w:p>
    <w:p>
      <w:pPr>
        <w:keepNext w:val="0"/>
        <w:keepLines w:val="0"/>
        <w:pageBreakBefore w:val="0"/>
        <w:kinsoku/>
        <w:wordWrap/>
        <w:overflowPunct/>
        <w:topLinePunct w:val="0"/>
        <w:bidi w:val="0"/>
        <w:spacing w:line="560" w:lineRule="exact"/>
        <w:ind w:firstLine="555"/>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保证金少于成交价10%的，不足部分由竞得人在签订《成交确认书》之日起5个工作日内付清。</w:t>
      </w:r>
    </w:p>
    <w:p>
      <w:pPr>
        <w:keepNext w:val="0"/>
        <w:keepLines w:val="0"/>
        <w:pageBreakBefore w:val="0"/>
        <w:kinsoku/>
        <w:wordWrap/>
        <w:overflowPunct/>
        <w:topLinePunct w:val="0"/>
        <w:bidi w:val="0"/>
        <w:spacing w:line="560" w:lineRule="exact"/>
        <w:ind w:firstLine="555"/>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十三、其它需要公告的事项</w:t>
      </w:r>
    </w:p>
    <w:p>
      <w:pPr>
        <w:keepNext w:val="0"/>
        <w:keepLines w:val="0"/>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（一）开发投资总额不少于</w:t>
      </w:r>
      <w:r>
        <w:rPr>
          <w:rFonts w:hint="eastAsia" w:ascii="仿宋_GB2312" w:hAnsi="仿宋_GB2312" w:eastAsia="仿宋_GB2312" w:cs="仿宋_GB2312"/>
          <w:kern w:val="2"/>
          <w:sz w:val="32"/>
          <w:szCs w:val="32"/>
          <w:lang w:val="en-US" w:eastAsia="zh-CN" w:bidi="ar-SA"/>
        </w:rPr>
        <w:t>2920</w:t>
      </w:r>
      <w:r>
        <w:rPr>
          <w:rFonts w:hint="default" w:ascii="仿宋_GB2312" w:hAnsi="仿宋_GB2312" w:eastAsia="仿宋_GB2312" w:cs="仿宋_GB2312"/>
          <w:kern w:val="2"/>
          <w:sz w:val="32"/>
          <w:szCs w:val="32"/>
          <w:lang w:val="en-US" w:eastAsia="zh-CN" w:bidi="ar-SA"/>
        </w:rPr>
        <w:t>万元（含地价,不含地价溢价部分）。</w:t>
      </w:r>
    </w:p>
    <w:p>
      <w:pPr>
        <w:keepNext w:val="0"/>
        <w:keepLines w:val="0"/>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（二）土地成交价款须以人民币支付,竞得人在签订《出让合同》之日起30日内付清全部成交价款。</w:t>
      </w:r>
    </w:p>
    <w:p>
      <w:pPr>
        <w:keepNext w:val="0"/>
        <w:keepLines w:val="0"/>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（三）该地权利清晰，安置补偿落实到位，没有法律经济纠纷，具备动工开发所必须的基本条件。</w:t>
      </w:r>
    </w:p>
    <w:p>
      <w:pPr>
        <w:keepNext w:val="0"/>
        <w:keepLines w:val="0"/>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（四）竞得人有下列行为之一的，视为违约，取消竞得人资格，没收保证金,并由有关部门依法处理;造成损失的，竞得人还应依法承担赔偿责任：</w:t>
      </w:r>
    </w:p>
    <w:p>
      <w:pPr>
        <w:keepNext w:val="0"/>
        <w:keepLines w:val="0"/>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1、不符合竞买资格条件的；</w:t>
      </w:r>
    </w:p>
    <w:p>
      <w:pPr>
        <w:keepNext w:val="0"/>
        <w:keepLines w:val="0"/>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2、采取行贿、恶意串通等非法手段竞得的；</w:t>
      </w:r>
    </w:p>
    <w:p>
      <w:pPr>
        <w:keepNext w:val="0"/>
        <w:keepLines w:val="0"/>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3、竞得人以其他非法手段竞得的；</w:t>
      </w:r>
    </w:p>
    <w:p>
      <w:pPr>
        <w:keepNext w:val="0"/>
        <w:keepLines w:val="0"/>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4、竞得人逾期或拒绝签订《成交确认书》的；</w:t>
      </w:r>
    </w:p>
    <w:p>
      <w:pPr>
        <w:keepNext w:val="0"/>
        <w:keepLines w:val="0"/>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5、竞得人逾期或拒绝签订《出让合同》的；</w:t>
      </w:r>
    </w:p>
    <w:p>
      <w:pPr>
        <w:keepNext w:val="0"/>
        <w:keepLines w:val="0"/>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6、不按本须知规定提供有关纸质文件材料，或提供虚假文件材料、隐瞒重要事实，引起交易纠纷的；</w:t>
      </w:r>
    </w:p>
    <w:p>
      <w:pPr>
        <w:keepNext w:val="0"/>
        <w:keepLines w:val="0"/>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7、构成违约责任的其他行为。</w:t>
      </w:r>
    </w:p>
    <w:p>
      <w:pPr>
        <w:keepNext w:val="0"/>
        <w:keepLines w:val="0"/>
        <w:pageBreakBefore w:val="0"/>
        <w:kinsoku/>
        <w:wordWrap/>
        <w:overflowPunct/>
        <w:topLinePunct w:val="0"/>
        <w:bidi w:val="0"/>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（五）挂牌出让价款不含应由竞得人缴纳的契税、印花税等有关费用。</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十</w:t>
      </w:r>
      <w:r>
        <w:rPr>
          <w:rFonts w:hint="eastAsia" w:ascii="仿宋_GB2312" w:hAnsi="仿宋_GB2312" w:eastAsia="仿宋_GB2312" w:cs="仿宋_GB2312"/>
          <w:kern w:val="2"/>
          <w:sz w:val="32"/>
          <w:szCs w:val="32"/>
          <w:lang w:val="en-US" w:eastAsia="zh-CN" w:bidi="ar-SA"/>
        </w:rPr>
        <w:t>四、该宗地使用网上挂牌方式出让，交易全程适用《惠州</w:t>
      </w:r>
      <w:bookmarkStart w:id="0" w:name="_GoBack"/>
      <w:bookmarkEnd w:id="0"/>
      <w:r>
        <w:rPr>
          <w:rFonts w:hint="eastAsia" w:ascii="仿宋_GB2312" w:hAnsi="仿宋_GB2312" w:eastAsia="仿宋_GB2312" w:cs="仿宋_GB2312"/>
          <w:kern w:val="2"/>
          <w:sz w:val="32"/>
          <w:szCs w:val="32"/>
          <w:lang w:val="en-US" w:eastAsia="zh-CN" w:bidi="ar-SA"/>
        </w:rPr>
        <w:t>市国有建设用地使用权和矿业权电子挂牌交易规则》（惠府〔2014〕167号）。</w:t>
      </w:r>
    </w:p>
    <w:p>
      <w:pPr>
        <w:keepNext w:val="0"/>
        <w:keepLines w:val="0"/>
        <w:pageBreakBefore w:val="0"/>
        <w:kinsoku/>
        <w:wordWrap/>
        <w:overflowPunct/>
        <w:topLinePunct w:val="0"/>
        <w:bidi w:val="0"/>
        <w:spacing w:line="560" w:lineRule="exact"/>
        <w:ind w:firstLine="555"/>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十</w:t>
      </w:r>
      <w:r>
        <w:rPr>
          <w:rFonts w:hint="eastAsia" w:ascii="仿宋_GB2312" w:hAnsi="仿宋_GB2312" w:eastAsia="仿宋_GB2312" w:cs="仿宋_GB2312"/>
          <w:kern w:val="2"/>
          <w:sz w:val="32"/>
          <w:szCs w:val="32"/>
          <w:lang w:val="en-US" w:eastAsia="zh-CN" w:bidi="ar-SA"/>
        </w:rPr>
        <w:t>五</w:t>
      </w:r>
      <w:r>
        <w:rPr>
          <w:rFonts w:hint="default" w:ascii="仿宋_GB2312" w:hAnsi="仿宋_GB2312" w:eastAsia="仿宋_GB2312" w:cs="仿宋_GB2312"/>
          <w:kern w:val="2"/>
          <w:sz w:val="32"/>
          <w:szCs w:val="32"/>
          <w:lang w:val="en-US" w:eastAsia="zh-CN" w:bidi="ar-SA"/>
        </w:rPr>
        <w:t>、联系方式：</w:t>
      </w:r>
    </w:p>
    <w:p>
      <w:pPr>
        <w:keepNext w:val="0"/>
        <w:keepLines w:val="0"/>
        <w:pageBreakBefore w:val="0"/>
        <w:kinsoku/>
        <w:wordWrap/>
        <w:overflowPunct/>
        <w:topLinePunct w:val="0"/>
        <w:bidi w:val="0"/>
        <w:spacing w:line="560" w:lineRule="exact"/>
        <w:ind w:firstLine="555"/>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联系地址：广东省惠州市江北文华一路2号大隆大厦6楼</w:t>
      </w:r>
    </w:p>
    <w:p>
      <w:pPr>
        <w:keepNext w:val="0"/>
        <w:keepLines w:val="0"/>
        <w:pageBreakBefore w:val="0"/>
        <w:kinsoku/>
        <w:wordWrap/>
        <w:overflowPunct/>
        <w:topLinePunct w:val="0"/>
        <w:bidi w:val="0"/>
        <w:spacing w:line="560" w:lineRule="exact"/>
        <w:ind w:firstLine="555"/>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联系人：袁小姐、黄小姐</w:t>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联系电话：</w:t>
      </w:r>
      <w:r>
        <w:rPr>
          <w:rFonts w:hint="eastAsia" w:ascii="仿宋_GB2312" w:hAnsi="仿宋_GB2312" w:eastAsia="仿宋_GB2312" w:cs="仿宋_GB2312"/>
          <w:kern w:val="2"/>
          <w:sz w:val="32"/>
          <w:szCs w:val="32"/>
          <w:lang w:val="en-US" w:eastAsia="zh-CN" w:bidi="ar-SA"/>
        </w:rPr>
        <w:t>（0752）7121026、7121042</w:t>
      </w:r>
    </w:p>
    <w:p>
      <w:pPr>
        <w:keepNext w:val="0"/>
        <w:keepLines w:val="0"/>
        <w:pageBreakBefore w:val="0"/>
        <w:kinsoku/>
        <w:wordWrap/>
        <w:overflowPunct/>
        <w:topLinePunct w:val="0"/>
        <w:bidi w:val="0"/>
        <w:spacing w:line="560" w:lineRule="exact"/>
        <w:ind w:firstLine="555"/>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注：本公告同时在下列网站及场所发布</w:t>
      </w:r>
    </w:p>
    <w:p>
      <w:pPr>
        <w:spacing w:line="520" w:lineRule="exact"/>
        <w:ind w:firstLine="555"/>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中国土地市场网: http://www.landchina.com</w:t>
      </w:r>
    </w:p>
    <w:p>
      <w:pPr>
        <w:spacing w:line="520" w:lineRule="exact"/>
        <w:ind w:firstLine="555"/>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广东省土地市场网：</w:t>
      </w:r>
      <w:r>
        <w:rPr>
          <w:rFonts w:hint="default" w:ascii="仿宋_GB2312" w:hAnsi="仿宋_GB2312" w:eastAsia="仿宋_GB2312" w:cs="仿宋_GB2312"/>
          <w:kern w:val="2"/>
          <w:sz w:val="32"/>
          <w:szCs w:val="32"/>
          <w:lang w:val="en-US" w:eastAsia="zh-CN" w:bidi="ar-SA"/>
        </w:rPr>
        <w:fldChar w:fldCharType="begin"/>
      </w:r>
      <w:r>
        <w:rPr>
          <w:rFonts w:hint="default" w:ascii="仿宋_GB2312" w:hAnsi="仿宋_GB2312" w:eastAsia="仿宋_GB2312" w:cs="仿宋_GB2312"/>
          <w:kern w:val="2"/>
          <w:sz w:val="32"/>
          <w:szCs w:val="32"/>
          <w:lang w:val="en-US" w:eastAsia="zh-CN" w:bidi="ar-SA"/>
        </w:rPr>
        <w:instrText xml:space="preserve"> HYPERLINK "http://www.landgd.com" </w:instrText>
      </w:r>
      <w:r>
        <w:rPr>
          <w:rFonts w:hint="default" w:ascii="仿宋_GB2312" w:hAnsi="仿宋_GB2312" w:eastAsia="仿宋_GB2312" w:cs="仿宋_GB2312"/>
          <w:kern w:val="2"/>
          <w:sz w:val="32"/>
          <w:szCs w:val="32"/>
          <w:lang w:val="en-US" w:eastAsia="zh-CN" w:bidi="ar-SA"/>
        </w:rPr>
        <w:fldChar w:fldCharType="separate"/>
      </w:r>
      <w:r>
        <w:rPr>
          <w:rFonts w:hint="default" w:ascii="仿宋_GB2312" w:hAnsi="仿宋_GB2312" w:eastAsia="仿宋_GB2312" w:cs="仿宋_GB2312"/>
          <w:kern w:val="2"/>
          <w:sz w:val="32"/>
          <w:szCs w:val="32"/>
          <w:lang w:val="en-US" w:eastAsia="zh-CN" w:bidi="ar-SA"/>
        </w:rPr>
        <w:t>http://www.landgd.com</w:t>
      </w:r>
      <w:r>
        <w:rPr>
          <w:rFonts w:hint="default" w:ascii="仿宋_GB2312" w:hAnsi="仿宋_GB2312" w:eastAsia="仿宋_GB2312" w:cs="仿宋_GB2312"/>
          <w:kern w:val="2"/>
          <w:sz w:val="32"/>
          <w:szCs w:val="32"/>
          <w:lang w:val="en-US" w:eastAsia="zh-CN" w:bidi="ar-SA"/>
        </w:rPr>
        <w:fldChar w:fldCharType="end"/>
      </w:r>
    </w:p>
    <w:p>
      <w:pPr>
        <w:spacing w:line="520" w:lineRule="exact"/>
        <w:ind w:firstLine="555"/>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惠州市自然资源局网站：http://land.huizhou.gov.cn</w:t>
      </w:r>
    </w:p>
    <w:p>
      <w:pPr>
        <w:spacing w:line="520" w:lineRule="exact"/>
        <w:ind w:firstLine="555"/>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惠州市公共资源交易中心网：</w:t>
      </w:r>
      <w:r>
        <w:rPr>
          <w:rFonts w:hint="default" w:ascii="仿宋_GB2312" w:hAnsi="仿宋_GB2312" w:eastAsia="仿宋_GB2312" w:cs="仿宋_GB2312"/>
          <w:kern w:val="2"/>
          <w:sz w:val="32"/>
          <w:szCs w:val="32"/>
          <w:lang w:val="en-US" w:eastAsia="zh-CN" w:bidi="ar-SA"/>
        </w:rPr>
        <w:fldChar w:fldCharType="begin"/>
      </w:r>
      <w:r>
        <w:rPr>
          <w:rFonts w:hint="default" w:ascii="仿宋_GB2312" w:hAnsi="仿宋_GB2312" w:eastAsia="仿宋_GB2312" w:cs="仿宋_GB2312"/>
          <w:kern w:val="2"/>
          <w:sz w:val="32"/>
          <w:szCs w:val="32"/>
          <w:lang w:val="en-US" w:eastAsia="zh-CN" w:bidi="ar-SA"/>
        </w:rPr>
        <w:instrText xml:space="preserve"> HYPERLINK "http://zyjy.huizhou.gov.cn" </w:instrText>
      </w:r>
      <w:r>
        <w:rPr>
          <w:rFonts w:hint="default" w:ascii="仿宋_GB2312" w:hAnsi="仿宋_GB2312" w:eastAsia="仿宋_GB2312" w:cs="仿宋_GB2312"/>
          <w:kern w:val="2"/>
          <w:sz w:val="32"/>
          <w:szCs w:val="32"/>
          <w:lang w:val="en-US" w:eastAsia="zh-CN" w:bidi="ar-SA"/>
        </w:rPr>
        <w:fldChar w:fldCharType="separate"/>
      </w:r>
      <w:r>
        <w:rPr>
          <w:rFonts w:hint="default" w:ascii="仿宋_GB2312" w:hAnsi="仿宋_GB2312" w:eastAsia="仿宋_GB2312" w:cs="仿宋_GB2312"/>
          <w:kern w:val="2"/>
          <w:sz w:val="32"/>
          <w:szCs w:val="32"/>
          <w:lang w:val="en-US" w:eastAsia="zh-CN" w:bidi="ar-SA"/>
        </w:rPr>
        <w:t>http://zyjy.huizhou.gov.cn</w:t>
      </w:r>
      <w:r>
        <w:rPr>
          <w:rFonts w:hint="default" w:ascii="仿宋_GB2312" w:hAnsi="仿宋_GB2312" w:eastAsia="仿宋_GB2312" w:cs="仿宋_GB2312"/>
          <w:kern w:val="2"/>
          <w:sz w:val="32"/>
          <w:szCs w:val="32"/>
          <w:lang w:val="en-US" w:eastAsia="zh-CN" w:bidi="ar-SA"/>
        </w:rPr>
        <w:fldChar w:fldCharType="end"/>
      </w:r>
    </w:p>
    <w:p>
      <w:pPr>
        <w:spacing w:line="520" w:lineRule="exact"/>
        <w:ind w:firstLine="555"/>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惠州市公共资源交易中心交易大厅现场。</w:t>
      </w:r>
    </w:p>
    <w:p>
      <w:pPr>
        <w:spacing w:line="520" w:lineRule="exact"/>
        <w:ind w:left="487" w:leftChars="232"/>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数字证书办理地址：惠州市江北云山西路二号帝景国际商务中心七层18-22房。</w:t>
      </w:r>
    </w:p>
    <w:p>
      <w:pPr>
        <w:spacing w:line="520" w:lineRule="exact"/>
        <w:ind w:firstLine="555"/>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联系电话：0752-2898481</w:t>
      </w:r>
    </w:p>
    <w:p>
      <w:pPr>
        <w:wordWrap w:val="0"/>
        <w:spacing w:line="520" w:lineRule="exact"/>
        <w:ind w:right="640"/>
        <w:jc w:val="right"/>
        <w:rPr>
          <w:rFonts w:hint="default" w:ascii="仿宋_GB2312" w:hAnsi="仿宋_GB2312" w:eastAsia="仿宋_GB2312" w:cs="仿宋_GB2312"/>
          <w:kern w:val="2"/>
          <w:sz w:val="32"/>
          <w:szCs w:val="32"/>
          <w:lang w:val="en-US" w:eastAsia="zh-CN" w:bidi="ar-SA"/>
        </w:rPr>
      </w:pPr>
    </w:p>
    <w:p>
      <w:pPr>
        <w:wordWrap w:val="0"/>
        <w:spacing w:line="520" w:lineRule="exact"/>
        <w:ind w:right="640"/>
        <w:jc w:val="right"/>
        <w:rPr>
          <w:rFonts w:hint="default" w:ascii="仿宋_GB2312" w:hAnsi="仿宋_GB2312" w:eastAsia="仿宋_GB2312" w:cs="仿宋_GB2312"/>
          <w:kern w:val="2"/>
          <w:sz w:val="32"/>
          <w:szCs w:val="32"/>
          <w:lang w:val="en-US" w:eastAsia="zh-CN" w:bidi="ar-SA"/>
        </w:rPr>
      </w:pPr>
    </w:p>
    <w:p>
      <w:pPr>
        <w:wordWrap w:val="0"/>
        <w:spacing w:line="520" w:lineRule="exact"/>
        <w:ind w:right="640"/>
        <w:jc w:val="right"/>
        <w:rPr>
          <w:rFonts w:hint="default" w:ascii="仿宋_GB2312" w:hAnsi="仿宋_GB2312" w:eastAsia="仿宋_GB2312" w:cs="仿宋_GB2312"/>
          <w:kern w:val="2"/>
          <w:sz w:val="32"/>
          <w:szCs w:val="32"/>
          <w:lang w:val="en-US" w:eastAsia="zh-CN" w:bidi="ar-SA"/>
        </w:rPr>
      </w:pPr>
    </w:p>
    <w:p>
      <w:pPr>
        <w:wordWrap w:val="0"/>
        <w:spacing w:line="520" w:lineRule="exact"/>
        <w:ind w:right="640"/>
        <w:jc w:val="right"/>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惠州市自然资源局</w:t>
      </w:r>
      <w:r>
        <w:rPr>
          <w:rFonts w:hint="eastAsia" w:ascii="仿宋_GB2312" w:hAnsi="仿宋_GB2312" w:eastAsia="仿宋_GB2312" w:cs="仿宋_GB2312"/>
          <w:kern w:val="2"/>
          <w:sz w:val="32"/>
          <w:szCs w:val="32"/>
          <w:lang w:val="en-US" w:eastAsia="zh-CN" w:bidi="ar-SA"/>
        </w:rPr>
        <w:t xml:space="preserve">  </w:t>
      </w:r>
    </w:p>
    <w:p>
      <w:pPr>
        <w:spacing w:line="520" w:lineRule="exact"/>
        <w:ind w:right="640"/>
        <w:jc w:val="right"/>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惠州市公共资源交易中心</w:t>
      </w:r>
    </w:p>
    <w:p>
      <w:pPr>
        <w:spacing w:line="360" w:lineRule="auto"/>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2020年12月3日</w:t>
      </w:r>
    </w:p>
    <w:p>
      <w:pPr>
        <w:pStyle w:val="2"/>
        <w:rPr>
          <w:rFonts w:hint="eastAsia" w:ascii="仿宋_GB2312" w:hAnsi="仿宋_GB2312" w:eastAsia="仿宋_GB2312" w:cs="仿宋_GB2312"/>
          <w:sz w:val="32"/>
          <w:szCs w:val="32"/>
          <w:lang w:val="en-US" w:eastAsia="zh-CN"/>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r>
        <w:rPr>
          <w:rFonts w:hint="eastAsia" w:ascii="黑体" w:hAnsi="黑体" w:eastAsia="黑体"/>
          <w:sz w:val="32"/>
          <w:szCs w:val="32"/>
        </w:rPr>
        <w:t>附表</w:t>
      </w:r>
    </w:p>
    <w:p>
      <w:pPr>
        <w:spacing w:line="360" w:lineRule="auto"/>
        <w:rPr>
          <w:rFonts w:hint="eastAsia" w:ascii="仿宋_GB2312" w:eastAsia="仿宋_GB2312"/>
          <w:sz w:val="32"/>
          <w:szCs w:val="32"/>
        </w:rPr>
      </w:pP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tabs>
          <w:tab w:val="left" w:pos="11340"/>
        </w:tabs>
        <w:spacing w:line="600" w:lineRule="exact"/>
        <w:rPr>
          <w:rFonts w:hint="eastAsia" w:ascii="仿宋_GB2312" w:eastAsia="仿宋_GB2312"/>
          <w:sz w:val="32"/>
          <w:szCs w:val="32"/>
        </w:rPr>
      </w:pPr>
    </w:p>
    <w:tbl>
      <w:tblPr>
        <w:tblStyle w:val="8"/>
        <w:tblW w:w="10512" w:type="dxa"/>
        <w:jc w:val="center"/>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828"/>
        <w:gridCol w:w="855"/>
        <w:gridCol w:w="1455"/>
        <w:gridCol w:w="1995"/>
        <w:gridCol w:w="2055"/>
        <w:gridCol w:w="1440"/>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378"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828"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85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145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5490" w:type="dxa"/>
            <w:gridSpan w:val="3"/>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1506" w:type="dxa"/>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378" w:type="dxa"/>
            <w:vMerge w:val="continue"/>
            <w:vAlign w:val="center"/>
          </w:tcPr>
          <w:p>
            <w:pPr>
              <w:adjustRightInd w:val="0"/>
              <w:snapToGrid w:val="0"/>
              <w:spacing w:line="320" w:lineRule="exact"/>
              <w:jc w:val="center"/>
              <w:rPr>
                <w:rFonts w:hint="eastAsia" w:ascii="仿宋_GB2312" w:eastAsia="仿宋_GB2312"/>
                <w:b/>
                <w:bCs/>
              </w:rPr>
            </w:pPr>
          </w:p>
        </w:tc>
        <w:tc>
          <w:tcPr>
            <w:tcW w:w="828" w:type="dxa"/>
            <w:vMerge w:val="continue"/>
            <w:vAlign w:val="center"/>
          </w:tcPr>
          <w:p>
            <w:pPr>
              <w:adjustRightInd w:val="0"/>
              <w:snapToGrid w:val="0"/>
              <w:spacing w:line="320" w:lineRule="exact"/>
              <w:jc w:val="center"/>
              <w:rPr>
                <w:rFonts w:hint="eastAsia" w:ascii="仿宋_GB2312" w:eastAsia="仿宋_GB2312"/>
                <w:b/>
                <w:bCs/>
              </w:rPr>
            </w:pPr>
          </w:p>
        </w:tc>
        <w:tc>
          <w:tcPr>
            <w:tcW w:w="855" w:type="dxa"/>
            <w:vMerge w:val="continue"/>
            <w:vAlign w:val="center"/>
          </w:tcPr>
          <w:p>
            <w:pPr>
              <w:adjustRightInd w:val="0"/>
              <w:snapToGrid w:val="0"/>
              <w:spacing w:line="320" w:lineRule="exact"/>
              <w:jc w:val="center"/>
              <w:rPr>
                <w:rFonts w:hint="eastAsia" w:ascii="仿宋_GB2312" w:eastAsia="仿宋_GB2312"/>
                <w:b/>
                <w:bCs/>
              </w:rPr>
            </w:pPr>
          </w:p>
        </w:tc>
        <w:tc>
          <w:tcPr>
            <w:tcW w:w="1455" w:type="dxa"/>
            <w:vMerge w:val="continue"/>
            <w:vAlign w:val="center"/>
          </w:tcPr>
          <w:p>
            <w:pPr>
              <w:adjustRightInd w:val="0"/>
              <w:snapToGrid w:val="0"/>
              <w:spacing w:line="320" w:lineRule="exact"/>
              <w:jc w:val="center"/>
              <w:rPr>
                <w:rFonts w:hint="eastAsia" w:ascii="仿宋_GB2312" w:eastAsia="仿宋_GB2312"/>
                <w:b/>
                <w:bCs/>
              </w:rPr>
            </w:pPr>
          </w:p>
        </w:tc>
        <w:tc>
          <w:tcPr>
            <w:tcW w:w="1995" w:type="dxa"/>
            <w:vAlign w:val="center"/>
          </w:tcPr>
          <w:p>
            <w:pPr>
              <w:autoSpaceDE w:val="0"/>
              <w:autoSpaceDN w:val="0"/>
              <w:adjustRightInd w:val="0"/>
              <w:spacing w:line="240" w:lineRule="exact"/>
              <w:jc w:val="center"/>
              <w:rPr>
                <w:rFonts w:hint="eastAsia" w:ascii="仿宋_GB2312" w:eastAsia="宋体"/>
                <w:b/>
                <w:bCs/>
                <w:szCs w:val="21"/>
                <w:lang w:eastAsia="zh-CN"/>
              </w:rPr>
            </w:pPr>
            <w:r>
              <w:rPr>
                <w:rFonts w:hint="eastAsia" w:ascii="仿宋_GB2312" w:eastAsia="仿宋_GB2312"/>
                <w:b/>
                <w:bCs/>
                <w:szCs w:val="21"/>
                <w:lang w:eastAsia="zh-CN"/>
              </w:rPr>
              <w:t>地下室</w:t>
            </w:r>
            <w:r>
              <w:rPr>
                <w:rFonts w:hint="eastAsia" w:ascii="仿宋_GB2312" w:eastAsia="仿宋_GB2312"/>
                <w:b/>
                <w:bCs/>
                <w:szCs w:val="21"/>
              </w:rPr>
              <w:t>宗地使用权</w:t>
            </w:r>
            <w:r>
              <w:rPr>
                <w:rFonts w:hint="eastAsia" w:ascii="仿宋_GB2312" w:eastAsia="仿宋_GB2312"/>
                <w:b/>
                <w:bCs/>
                <w:szCs w:val="21"/>
                <w:lang w:eastAsia="zh-CN"/>
              </w:rPr>
              <w:t>面积</w:t>
            </w:r>
            <w:r>
              <w:rPr>
                <w:rFonts w:hint="eastAsia" w:ascii="仿宋_GB2312" w:eastAsia="仿宋_GB2312"/>
                <w:b/>
                <w:bCs/>
                <w:szCs w:val="21"/>
              </w:rPr>
              <w:t>（</w:t>
            </w:r>
            <w:r>
              <w:rPr>
                <w:rFonts w:hint="eastAsia" w:ascii="宋体" w:hAnsi="宋体" w:cs="宋体"/>
                <w:b/>
                <w:bCs/>
                <w:szCs w:val="21"/>
              </w:rPr>
              <w:t>㎡</w:t>
            </w:r>
            <w:r>
              <w:rPr>
                <w:rFonts w:hint="eastAsia" w:ascii="宋体" w:hAnsi="宋体" w:cs="宋体"/>
                <w:b/>
                <w:bCs/>
                <w:szCs w:val="21"/>
                <w:lang w:eastAsia="zh-CN"/>
              </w:rPr>
              <w:t>）</w:t>
            </w:r>
          </w:p>
        </w:tc>
        <w:tc>
          <w:tcPr>
            <w:tcW w:w="2055" w:type="dxa"/>
            <w:vAlign w:val="center"/>
          </w:tcPr>
          <w:p>
            <w:pPr>
              <w:autoSpaceDE w:val="0"/>
              <w:autoSpaceDN w:val="0"/>
              <w:adjustRightInd w:val="0"/>
              <w:spacing w:line="240" w:lineRule="exact"/>
              <w:jc w:val="center"/>
              <w:rPr>
                <w:rFonts w:hint="eastAsia" w:ascii="仿宋_GB2312" w:eastAsia="仿宋_GB2312"/>
                <w:b/>
                <w:bCs/>
                <w:lang w:eastAsia="zh-CN"/>
              </w:rPr>
            </w:pPr>
            <w:r>
              <w:rPr>
                <w:rFonts w:hint="eastAsia" w:eastAsia="仿宋_GB2312"/>
                <w:b/>
                <w:szCs w:val="21"/>
              </w:rPr>
              <w:t>机动车停车位配建标准</w:t>
            </w:r>
            <w:r>
              <w:rPr>
                <w:rFonts w:hint="eastAsia" w:eastAsia="仿宋_GB2312"/>
                <w:b/>
                <w:szCs w:val="21"/>
                <w:lang w:eastAsia="zh-CN"/>
              </w:rPr>
              <w:t>（个）</w:t>
            </w:r>
          </w:p>
        </w:tc>
        <w:tc>
          <w:tcPr>
            <w:tcW w:w="1440" w:type="dxa"/>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szCs w:val="21"/>
              </w:rPr>
              <w:t>适建性</w:t>
            </w:r>
          </w:p>
        </w:tc>
        <w:tc>
          <w:tcPr>
            <w:tcW w:w="1506" w:type="dxa"/>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378" w:type="dxa"/>
            <w:tcMar>
              <w:left w:w="0" w:type="dxa"/>
              <w:right w:w="0" w:type="dxa"/>
            </w:tcMar>
            <w:vAlign w:val="center"/>
          </w:tcPr>
          <w:p>
            <w:pPr>
              <w:jc w:val="center"/>
              <w:rPr>
                <w:rFonts w:hint="default" w:ascii="仿宋_GB2312" w:hAnsi="Times New Roman" w:eastAsia="仿宋_GB2312"/>
                <w:szCs w:val="21"/>
                <w:lang w:val="en-US"/>
              </w:rPr>
            </w:pPr>
            <w:r>
              <w:rPr>
                <w:rFonts w:hint="eastAsia" w:ascii="仿宋_GB2312" w:hAnsi="Times New Roman" w:eastAsia="仿宋_GB2312"/>
                <w:szCs w:val="21"/>
              </w:rPr>
              <w:t>GP20</w:t>
            </w:r>
            <w:r>
              <w:rPr>
                <w:rFonts w:hint="eastAsia" w:ascii="仿宋_GB2312" w:hAnsi="Times New Roman" w:eastAsia="仿宋_GB2312"/>
                <w:szCs w:val="21"/>
                <w:lang w:val="en-US" w:eastAsia="zh-CN"/>
              </w:rPr>
              <w:t>20</w:t>
            </w:r>
            <w:r>
              <w:rPr>
                <w:rFonts w:hint="eastAsia" w:ascii="仿宋_GB2312" w:hAnsi="Times New Roman" w:eastAsia="仿宋_GB2312"/>
                <w:szCs w:val="21"/>
              </w:rPr>
              <w:t>-</w:t>
            </w:r>
            <w:r>
              <w:rPr>
                <w:rFonts w:hint="eastAsia" w:ascii="仿宋_GB2312" w:eastAsia="仿宋_GB2312"/>
                <w:szCs w:val="21"/>
                <w:lang w:val="en-US" w:eastAsia="zh-CN"/>
              </w:rPr>
              <w:t>51</w:t>
            </w:r>
          </w:p>
        </w:tc>
        <w:tc>
          <w:tcPr>
            <w:tcW w:w="828" w:type="dxa"/>
            <w:vAlign w:val="center"/>
          </w:tcPr>
          <w:p>
            <w:pPr>
              <w:jc w:val="center"/>
              <w:rPr>
                <w:rFonts w:hint="eastAsia" w:ascii="仿宋_GB2312" w:hAnsi="Times New Roman" w:eastAsia="仿宋_GB2312"/>
                <w:szCs w:val="21"/>
                <w:lang w:eastAsia="zh-CN"/>
              </w:rPr>
            </w:pPr>
            <w:r>
              <w:rPr>
                <w:rFonts w:hint="eastAsia" w:ascii="仿宋_GB2312" w:eastAsia="仿宋_GB2312"/>
                <w:szCs w:val="21"/>
                <w:lang w:val="en-US" w:eastAsia="zh-CN"/>
              </w:rPr>
              <w:t>惠城区</w:t>
            </w:r>
            <w:r>
              <w:rPr>
                <w:rFonts w:hint="eastAsia" w:ascii="仿宋_GB2312" w:hAnsi="Times New Roman" w:eastAsia="仿宋_GB2312"/>
                <w:szCs w:val="21"/>
                <w:lang w:val="en-US" w:eastAsia="zh-CN"/>
              </w:rPr>
              <w:t>桥西片区丰湖书院</w:t>
            </w:r>
          </w:p>
        </w:tc>
        <w:tc>
          <w:tcPr>
            <w:tcW w:w="855" w:type="dxa"/>
            <w:vAlign w:val="center"/>
          </w:tcPr>
          <w:p>
            <w:pPr>
              <w:jc w:val="center"/>
              <w:rPr>
                <w:rFonts w:hint="eastAsia" w:ascii="Times New Roman" w:hAnsi="Times New Roman" w:eastAsia="仿宋_GB2312" w:cs="Times New Roman"/>
                <w:kern w:val="2"/>
                <w:sz w:val="21"/>
                <w:szCs w:val="21"/>
                <w:lang w:val="en-US" w:eastAsia="zh-CN"/>
              </w:rPr>
            </w:pPr>
            <w:r>
              <w:rPr>
                <w:rFonts w:hint="eastAsia" w:ascii="Times New Roman" w:hAnsi="Times New Roman" w:eastAsia="仿宋_GB2312" w:cs="Times New Roman"/>
                <w:kern w:val="2"/>
                <w:sz w:val="21"/>
                <w:szCs w:val="21"/>
                <w:lang w:val="en-US" w:eastAsia="zh-CN"/>
              </w:rPr>
              <w:t>FH-01</w:t>
            </w:r>
          </w:p>
        </w:tc>
        <w:tc>
          <w:tcPr>
            <w:tcW w:w="1455" w:type="dxa"/>
            <w:tcMar>
              <w:left w:w="0" w:type="dxa"/>
              <w:right w:w="0" w:type="dxa"/>
            </w:tcMar>
            <w:vAlign w:val="center"/>
          </w:tcPr>
          <w:p>
            <w:pPr>
              <w:jc w:val="center"/>
              <w:rPr>
                <w:rFonts w:hint="eastAsia" w:ascii="仿宋_GB2312" w:hAnsi="Times New Roman" w:eastAsia="仿宋_GB2312"/>
                <w:szCs w:val="21"/>
              </w:rPr>
            </w:pPr>
            <w:r>
              <w:rPr>
                <w:rFonts w:hint="eastAsia" w:ascii="Times New Roman" w:hAnsi="Times New Roman" w:eastAsia="仿宋_GB2312" w:cs="Times New Roman"/>
                <w:color w:val="000000"/>
                <w:sz w:val="21"/>
                <w:szCs w:val="21"/>
                <w:lang w:val="en-US" w:eastAsia="zh-CN"/>
              </w:rPr>
              <w:t>公园绿地兼容社会停车场用地</w:t>
            </w:r>
          </w:p>
        </w:tc>
        <w:tc>
          <w:tcPr>
            <w:tcW w:w="1995" w:type="dxa"/>
            <w:vAlign w:val="center"/>
          </w:tcPr>
          <w:p>
            <w:pPr>
              <w:adjustRightInd w:val="0"/>
              <w:snapToGrid w:val="0"/>
              <w:spacing w:line="400" w:lineRule="exact"/>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4422.38</w:t>
            </w:r>
          </w:p>
        </w:tc>
        <w:tc>
          <w:tcPr>
            <w:tcW w:w="2055" w:type="dxa"/>
            <w:vAlign w:val="center"/>
          </w:tcPr>
          <w:p>
            <w:pPr>
              <w:adjustRightInd w:val="0"/>
              <w:snapToGrid w:val="0"/>
              <w:spacing w:line="400" w:lineRule="exact"/>
              <w:jc w:val="center"/>
              <w:rPr>
                <w:rFonts w:hint="default" w:ascii="Times New Roman" w:hAnsi="Times New Roman" w:eastAsia="仿宋_GB2312" w:cs="Times New Roman"/>
                <w:sz w:val="21"/>
                <w:szCs w:val="21"/>
              </w:rPr>
            </w:pPr>
            <w:r>
              <w:rPr>
                <w:rFonts w:hint="eastAsia" w:ascii="Times New Roman" w:hAnsi="Times New Roman" w:eastAsia="仿宋_GB2312" w:cs="Times New Roman"/>
                <w:color w:val="000000"/>
                <w:sz w:val="21"/>
                <w:szCs w:val="21"/>
                <w:lang w:val="en-US" w:eastAsia="zh-CN"/>
              </w:rPr>
              <w:t>地下自走式停车库≥200个</w:t>
            </w:r>
          </w:p>
        </w:tc>
        <w:tc>
          <w:tcPr>
            <w:tcW w:w="1440" w:type="dxa"/>
            <w:vAlign w:val="center"/>
          </w:tcPr>
          <w:p>
            <w:pPr>
              <w:ind w:leftChars="-51" w:right="-118" w:rightChars="-56" w:hanging="107" w:hangingChars="51"/>
              <w:jc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color w:val="000000"/>
                <w:sz w:val="21"/>
                <w:szCs w:val="21"/>
                <w:lang w:eastAsia="zh-CN"/>
              </w:rPr>
              <w:t>公园、地下停车库及配套设施</w:t>
            </w:r>
          </w:p>
        </w:tc>
        <w:tc>
          <w:tcPr>
            <w:tcW w:w="1506" w:type="dxa"/>
            <w:vAlign w:val="center"/>
          </w:tcPr>
          <w:p>
            <w:pPr>
              <w:ind w:leftChars="-51" w:right="-118" w:rightChars="-56" w:hanging="107" w:hangingChars="51"/>
              <w:jc w:val="left"/>
              <w:rPr>
                <w:rFonts w:hint="eastAsia" w:ascii="仿宋_GB2312" w:hAnsi="仿宋_GB2312" w:eastAsia="仿宋_GB2312"/>
                <w:color w:val="000000"/>
                <w:szCs w:val="21"/>
              </w:rPr>
            </w:pPr>
            <w:r>
              <w:rPr>
                <w:rFonts w:hint="eastAsia" w:ascii="仿宋_GB2312" w:hAnsi="仿宋_GB2312" w:eastAsia="仿宋_GB2312"/>
                <w:color w:val="000000"/>
                <w:szCs w:val="21"/>
                <w:lang w:eastAsia="zh-CN"/>
              </w:rPr>
              <w:t>交通服务场站用地</w:t>
            </w:r>
            <w:r>
              <w:rPr>
                <w:rFonts w:hint="eastAsia" w:ascii="仿宋_GB2312" w:hAnsi="仿宋_GB2312" w:eastAsia="仿宋_GB2312"/>
                <w:color w:val="000000"/>
                <w:szCs w:val="21"/>
                <w:lang w:val="en-US" w:eastAsia="zh-CN"/>
              </w:rPr>
              <w:t>5</w:t>
            </w:r>
            <w:r>
              <w:rPr>
                <w:rFonts w:hint="eastAsia" w:ascii="仿宋_GB2312" w:hAnsi="仿宋_GB2312" w:eastAsia="仿宋_GB2312"/>
                <w:color w:val="000000"/>
                <w:szCs w:val="21"/>
              </w:rPr>
              <w:t>0年</w:t>
            </w:r>
          </w:p>
        </w:tc>
      </w:tr>
    </w:tbl>
    <w:p/>
    <w:sectPr>
      <w:headerReference r:id="rId3" w:type="default"/>
      <w:footerReference r:id="rId4" w:type="default"/>
      <w:pgSz w:w="11906" w:h="16838"/>
      <w:pgMar w:top="1440" w:right="1440"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- 9 -</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47C6E"/>
    <w:rsid w:val="029A2309"/>
    <w:rsid w:val="08BB643C"/>
    <w:rsid w:val="09394748"/>
    <w:rsid w:val="0AF2015B"/>
    <w:rsid w:val="20CD1430"/>
    <w:rsid w:val="29DD4BB2"/>
    <w:rsid w:val="310C0DBE"/>
    <w:rsid w:val="38BD6EFD"/>
    <w:rsid w:val="40F75F23"/>
    <w:rsid w:val="49B43499"/>
    <w:rsid w:val="4D6C2C10"/>
    <w:rsid w:val="57F224D9"/>
    <w:rsid w:val="68B054D2"/>
    <w:rsid w:val="69195765"/>
    <w:rsid w:val="6B9D5940"/>
    <w:rsid w:val="6C747C6E"/>
    <w:rsid w:val="73355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9">
    <w:name w:val="内标题一"/>
    <w:basedOn w:val="1"/>
    <w:qFormat/>
    <w:uiPriority w:val="0"/>
    <w:rPr>
      <w:rFonts w:eastAsia="楷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12</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2020-11-17T08:28:00Z</dcterms:created>
  <dc:creator>Administrator</dc:creator>
  <cp:lastModifiedBy>袁秀玲</cp:lastModifiedBy>
  <cp:lastPrinted>2020-12-02T08:52:00Z</cp:lastPrinted>
  <dcterms:modified xsi:type="dcterms:W3CDTF">2020-12-03T07:11:23Z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