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w:t>
      </w:r>
      <w:r>
        <w:rPr>
          <w:rFonts w:hint="eastAsia" w:ascii="仿宋_GB2312"/>
          <w:sz w:val="32"/>
          <w:szCs w:val="32"/>
          <w:lang w:val="en-US" w:eastAsia="zh-CN"/>
        </w:rPr>
        <w:t>35</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cs="Times New Roman"/>
          <w:kern w:val="2"/>
          <w:sz w:val="32"/>
          <w:szCs w:val="32"/>
          <w:lang w:val="en-US" w:eastAsia="zh-CN"/>
        </w:rPr>
        <w:t>83450</w:t>
      </w:r>
      <w:r>
        <w:rPr>
          <w:rFonts w:hint="eastAsia" w:ascii="仿宋_GB2312" w:hAnsi="仿宋_GB2312" w:eastAsia="仿宋_GB2312" w:cs="仿宋_GB2312"/>
          <w:sz w:val="32"/>
          <w:szCs w:val="32"/>
        </w:rPr>
        <w:t>万元,每次报价加价幅度为人民币10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万元的整数倍。</w:t>
      </w:r>
    </w:p>
    <w:p>
      <w:pPr>
        <w:keepNext w:val="0"/>
        <w:keepLines w:val="0"/>
        <w:pageBreakBefore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五、该宗地竞买保证金可用人民币及外币（暂限于美元、港币）支付。</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rPr>
        <w:t>六、申请人应具备的其他条件：</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ascii="仿宋_GB2312" w:hAnsi="仿宋" w:eastAsia="仿宋_GB2312" w:cs="仿宋_GB2312"/>
          <w:color w:val="000000"/>
          <w:sz w:val="32"/>
          <w:szCs w:val="32"/>
          <w:lang w:val="en-US" w:eastAsia="zh-CN"/>
        </w:rPr>
        <w:t>1</w:t>
      </w:r>
      <w:r>
        <w:rPr>
          <w:rFonts w:hint="eastAsia" w:hAnsi="仿宋" w:cs="仿宋_GB2312"/>
          <w:color w:val="000000"/>
          <w:sz w:val="32"/>
          <w:szCs w:val="32"/>
          <w:lang w:val="en-US" w:eastAsia="zh-CN"/>
        </w:rPr>
        <w:t>6690</w:t>
      </w:r>
      <w:r>
        <w:rPr>
          <w:rFonts w:hint="eastAsia" w:hAnsi="仿宋_GB2312" w:cs="仿宋_GB2312"/>
          <w:szCs w:val="32"/>
        </w:rPr>
        <w:t>万元人民币，如以外币缴交竞买保证金的，须缴交美元</w:t>
      </w:r>
      <w:r>
        <w:rPr>
          <w:rFonts w:hint="eastAsia" w:hAnsi="仿宋_GB2312" w:cs="仿宋_GB2312"/>
          <w:szCs w:val="32"/>
          <w:lang w:val="en-US" w:eastAsia="zh-CN"/>
        </w:rPr>
        <w:t>2444</w:t>
      </w:r>
      <w:r>
        <w:rPr>
          <w:rFonts w:hint="eastAsia" w:hAnsi="仿宋_GB2312" w:cs="仿宋_GB2312"/>
          <w:szCs w:val="32"/>
        </w:rPr>
        <w:t>万元或港币</w:t>
      </w:r>
      <w:r>
        <w:rPr>
          <w:rFonts w:hint="eastAsia" w:hAnsi="仿宋_GB2312" w:cs="仿宋_GB2312"/>
          <w:szCs w:val="32"/>
          <w:lang w:val="en-US" w:eastAsia="zh-CN"/>
        </w:rPr>
        <w:t>18938</w:t>
      </w:r>
      <w:r>
        <w:rPr>
          <w:rFonts w:hint="eastAsia" w:hAnsi="仿宋_GB2312" w:cs="仿宋_GB2312"/>
          <w:szCs w:val="32"/>
        </w:rPr>
        <w:t>万元。</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（二）竞得人在用地红线内开发建设必须符合城市规划要求，必须按《告知书》（案卷编号：</w:t>
      </w:r>
      <w:r>
        <w:rPr>
          <w:rFonts w:hint="eastAsia" w:ascii="仿宋_GB2312" w:hAnsi="仿宋" w:eastAsia="仿宋_GB2312" w:cs="Times New Roman"/>
          <w:sz w:val="32"/>
          <w:szCs w:val="32"/>
        </w:rPr>
        <w:t>PB20</w:t>
      </w:r>
      <w:r>
        <w:rPr>
          <w:rFonts w:hint="default" w:ascii="仿宋_GB2312" w:hAnsi="仿宋" w:eastAsia="仿宋_GB2312" w:cs="Times New Roman"/>
          <w:sz w:val="32"/>
          <w:szCs w:val="32"/>
          <w:lang w:val="en-US"/>
        </w:rPr>
        <w:t>200</w:t>
      </w:r>
      <w:r>
        <w:rPr>
          <w:rFonts w:hint="eastAsia" w:hAnsi="仿宋" w:cs="Times New Roman"/>
          <w:sz w:val="32"/>
          <w:szCs w:val="32"/>
          <w:lang w:val="en-US" w:eastAsia="zh-CN"/>
        </w:rPr>
        <w:t>100</w:t>
      </w:r>
      <w:r>
        <w:rPr>
          <w:rFonts w:hint="eastAsia" w:hAnsi="仿宋_GB2312" w:cs="仿宋_GB2312"/>
          <w:szCs w:val="32"/>
        </w:rPr>
        <w:t>）规划控制指标要求及有关规定进行规划设计。</w:t>
      </w:r>
    </w:p>
    <w:p>
      <w:pPr>
        <w:keepNext w:val="0"/>
        <w:keepLines w:val="0"/>
        <w:pageBreakBefore w:val="0"/>
        <w:kinsoku/>
        <w:wordWrap/>
        <w:overflowPunct/>
        <w:topLinePunct w:val="0"/>
        <w:autoSpaceDE/>
        <w:autoSpaceDN/>
        <w:bidi w:val="0"/>
        <w:adjustRightInd/>
        <w:snapToGrid/>
        <w:spacing w:line="560" w:lineRule="exact"/>
        <w:ind w:firstLine="627" w:firstLineChars="196"/>
        <w:jc w:val="both"/>
        <w:textAlignment w:val="auto"/>
        <w:rPr>
          <w:rFonts w:hint="default" w:ascii="仿宋_GB2312" w:hAnsi="仿宋" w:eastAsia="仿宋_GB2312"/>
          <w:kern w:val="2"/>
          <w:sz w:val="32"/>
          <w:szCs w:val="32"/>
          <w:lang w:val="en-US" w:eastAsia="zh-CN"/>
        </w:rPr>
      </w:pPr>
      <w:r>
        <w:rPr>
          <w:rFonts w:hint="eastAsia" w:ascii="仿宋_GB2312" w:hAnsi="仿宋" w:eastAsia="仿宋_GB2312"/>
          <w:kern w:val="2"/>
          <w:sz w:val="32"/>
          <w:szCs w:val="32"/>
        </w:rPr>
        <w:t>（三）</w:t>
      </w:r>
      <w:r>
        <w:rPr>
          <w:rFonts w:hint="eastAsia" w:ascii="仿宋_GB2312" w:hAnsi="仿宋" w:eastAsia="仿宋_GB2312"/>
          <w:kern w:val="2"/>
          <w:sz w:val="32"/>
          <w:szCs w:val="32"/>
          <w:lang w:eastAsia="zh-CN"/>
        </w:rPr>
        <w:t>本用地内部、东侧和北侧的密路网（包括雨水管和污水管）须由取得</w:t>
      </w:r>
      <w:r>
        <w:rPr>
          <w:rFonts w:hint="eastAsia" w:ascii="仿宋_GB2312" w:hAnsi="仿宋" w:eastAsia="仿宋_GB2312"/>
          <w:kern w:val="2"/>
          <w:sz w:val="32"/>
          <w:szCs w:val="32"/>
          <w:lang w:val="en-US" w:eastAsia="zh-CN"/>
        </w:rPr>
        <w:t>LJL-47-19地块的土地使用权者负责建设。密路网建成后无偿交给市政工程行政主管部门管理，并开放给公众使用。</w:t>
      </w:r>
    </w:p>
    <w:p>
      <w:pPr>
        <w:keepNext w:val="0"/>
        <w:keepLines w:val="0"/>
        <w:pageBreakBefore w:val="0"/>
        <w:tabs>
          <w:tab w:val="left" w:pos="2172"/>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kern w:val="2"/>
          <w:sz w:val="32"/>
          <w:szCs w:val="32"/>
        </w:rPr>
        <w:t>（</w:t>
      </w:r>
      <w:r>
        <w:rPr>
          <w:rFonts w:hint="eastAsia" w:ascii="仿宋_GB2312" w:hAnsi="仿宋" w:eastAsia="仿宋_GB2312"/>
          <w:kern w:val="2"/>
          <w:sz w:val="32"/>
          <w:szCs w:val="32"/>
          <w:lang w:eastAsia="zh-CN"/>
        </w:rPr>
        <w:t>四</w:t>
      </w:r>
      <w:r>
        <w:rPr>
          <w:rFonts w:hint="eastAsia" w:ascii="仿宋_GB2312" w:hAnsi="仿宋" w:eastAsia="仿宋_GB2312"/>
          <w:kern w:val="2"/>
          <w:sz w:val="32"/>
          <w:szCs w:val="32"/>
        </w:rPr>
        <w:t>）</w:t>
      </w:r>
      <w:r>
        <w:rPr>
          <w:rFonts w:hint="eastAsia" w:ascii="仿宋_GB2312" w:hAnsi="仿宋" w:eastAsia="仿宋_GB2312"/>
          <w:kern w:val="2"/>
          <w:sz w:val="32"/>
          <w:szCs w:val="32"/>
          <w:lang w:eastAsia="zh-CN"/>
        </w:rPr>
        <w:t>地块内的配套幼儿园应与</w:t>
      </w:r>
      <w:r>
        <w:rPr>
          <w:rFonts w:hint="eastAsia" w:ascii="仿宋_GB2312" w:hAnsi="仿宋" w:eastAsia="仿宋_GB2312"/>
          <w:kern w:val="2"/>
          <w:sz w:val="32"/>
          <w:szCs w:val="32"/>
          <w:lang w:val="en-US" w:eastAsia="zh-CN"/>
        </w:rPr>
        <w:t>LJL-47-19地块同步规划设计、同步建设、同步验收交付使用</w:t>
      </w:r>
      <w:r>
        <w:rPr>
          <w:rFonts w:hint="eastAsia" w:ascii="仿宋_GB2312" w:hAnsi="仿宋" w:eastAsia="仿宋_GB2312"/>
          <w:kern w:val="2"/>
          <w:sz w:val="32"/>
          <w:szCs w:val="32"/>
          <w:lang w:eastAsia="zh-CN"/>
        </w:rPr>
        <w:t>，如</w:t>
      </w:r>
      <w:r>
        <w:rPr>
          <w:rFonts w:hint="eastAsia" w:ascii="仿宋_GB2312" w:hAnsi="仿宋" w:eastAsia="仿宋_GB2312"/>
          <w:kern w:val="2"/>
          <w:sz w:val="32"/>
          <w:szCs w:val="32"/>
          <w:lang w:val="en-US" w:eastAsia="zh-CN"/>
        </w:rPr>
        <w:t>本用地分期建设，该幼儿园应纳入首期工程。</w:t>
      </w:r>
      <w:r>
        <w:rPr>
          <w:rFonts w:hint="eastAsia" w:ascii="仿宋_GB2312" w:hAnsi="仿宋" w:eastAsia="仿宋_GB2312"/>
          <w:kern w:val="2"/>
          <w:sz w:val="32"/>
          <w:szCs w:val="32"/>
          <w:lang w:eastAsia="zh-CN"/>
        </w:rPr>
        <w:t>在办理用地供地手续时，应将整个地块办理出让手续，在出让合同中明确由地块使用权人按照规划要求和惠城区教育局提出的建设标准完成配套幼儿园建设并无偿移交，不动产登记部门在办理分割登记时，将幼儿园办至惠城区教育局名下。</w:t>
      </w:r>
    </w:p>
    <w:p>
      <w:pPr>
        <w:keepNext w:val="0"/>
        <w:keepLines w:val="0"/>
        <w:pageBreakBefore w:val="0"/>
        <w:widowControl/>
        <w:kinsoku/>
        <w:wordWrap/>
        <w:overflowPunct/>
        <w:topLinePunct w:val="0"/>
        <w:autoSpaceDE/>
        <w:autoSpaceDN/>
        <w:bidi w:val="0"/>
        <w:spacing w:line="560" w:lineRule="exact"/>
        <w:ind w:firstLine="618"/>
        <w:textAlignment w:val="auto"/>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eastAsia="zh-CN"/>
        </w:rPr>
        <w:t>五</w:t>
      </w:r>
      <w:r>
        <w:rPr>
          <w:rFonts w:hint="eastAsia" w:ascii="仿宋_GB2312" w:hAnsi="仿宋" w:eastAsia="仿宋_GB2312"/>
          <w:sz w:val="32"/>
          <w:szCs w:val="32"/>
        </w:rPr>
        <w:t>）存在下列违法违规违约行为之一的企业及其控股股东，不得参与竞买上述地块：</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1、存在伪造公文骗取用地和非法倒卖土地等犯罪行为的；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2、存在非法转让土地使用权等违法行为的；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3、因企业原因造成土地闲置一年以上且至报名日止未处罚完结的；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4、开发建设企业有违背出让合同约定条件开发利用土地情形且至报名日止未处罚完结的；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5、至报名日止仍拖欠政府地价款的;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6、被列入问题楼盘开发企业黑名单的;</w:t>
      </w:r>
    </w:p>
    <w:p>
      <w:pPr>
        <w:pStyle w:val="2"/>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7、存在其它被禁止竞买土地行为的。</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保证金少于成交价10%的，不足部分由竞得人在签订《成交确认书》之日起5个工作日内付清。</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十三、其它需要公告的事项</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cs="Times New Roman"/>
          <w:kern w:val="2"/>
          <w:sz w:val="32"/>
          <w:szCs w:val="32"/>
          <w:lang w:val="en-US" w:eastAsia="zh-CN"/>
        </w:rPr>
        <w:t>126490</w:t>
      </w:r>
      <w:r>
        <w:rPr>
          <w:rFonts w:hint="eastAsia" w:ascii="仿宋_GB2312" w:hAnsi="仿宋_GB2312" w:eastAsia="仿宋_GB2312" w:cs="仿宋_GB2312"/>
          <w:sz w:val="32"/>
          <w:szCs w:val="32"/>
        </w:rPr>
        <w:t>万元（含地价,不含</w:t>
      </w:r>
      <w:r>
        <w:rPr>
          <w:rFonts w:ascii="仿宋_GB2312" w:hAnsi="仿宋_GB2312" w:eastAsia="仿宋_GB2312" w:cs="仿宋_GB2312"/>
          <w:sz w:val="32"/>
          <w:szCs w:val="32"/>
        </w:rPr>
        <w:t>地价溢价部分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（四）竞得人有下列行为之一的，视为违约，取消竞得人资格，没收保证金,并由有关部门依法处理;造成损失的，竞得人还应依法承担赔偿责任：</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十四、该宗地使用网上挂牌方式出让，交易全程适用《惠州市国有建设用地使用权和矿业权电子挂牌交易规则》（惠府〔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（一）惠州市自然资源局用地科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叶小姐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联系电话：（0752）2896</w:t>
      </w:r>
      <w:r>
        <w:rPr>
          <w:rFonts w:hint="eastAsia" w:ascii="仿宋_GB2312" w:hAnsi="仿宋_GB2312" w:eastAsia="仿宋_GB2312" w:cs="仿宋_GB2312"/>
          <w:sz w:val="32"/>
          <w:szCs w:val="32"/>
          <w:lang w:val="en-US" w:eastAsia="zh-CN"/>
        </w:rPr>
        <w:t>31</w:t>
      </w:r>
      <w:r>
        <w:rPr>
          <w:rFonts w:hint="eastAsia" w:ascii="仿宋_GB2312" w:hAnsi="仿宋_GB2312" w:cs="仿宋_GB2312"/>
          <w:sz w:val="32"/>
          <w:szCs w:val="32"/>
          <w:lang w:val="en-US" w:eastAsia="zh-CN"/>
        </w:rPr>
        <w:t>2</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kinsoku/>
        <w:wordWrap/>
        <w:overflowPunct/>
        <w:topLinePunct w:val="0"/>
        <w:autoSpaceDE/>
        <w:autoSpaceDN/>
        <w:bidi w:val="0"/>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注：本公告同时在下列网站及场所发布</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spacing w:line="520" w:lineRule="exact"/>
        <w:ind w:right="640" w:firstLine="5033" w:firstLineChars="157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w:t>
      </w:r>
    </w:p>
    <w:p>
      <w:pPr>
        <w:spacing w:line="520" w:lineRule="exact"/>
        <w:ind w:right="640" w:firstLine="4640" w:firstLineChars="1450"/>
        <w:rPr>
          <w:rFonts w:hint="eastAsia" w:ascii="仿宋_GB2312" w:eastAsia="仿宋_GB2312"/>
          <w:sz w:val="32"/>
          <w:szCs w:val="32"/>
        </w:rPr>
      </w:pPr>
      <w:r>
        <w:rPr>
          <w:rFonts w:hint="eastAsia" w:ascii="仿宋_GB2312" w:hAnsi="仿宋_GB2312" w:eastAsia="仿宋_GB2312" w:cs="仿宋_GB2312"/>
          <w:sz w:val="32"/>
          <w:szCs w:val="32"/>
        </w:rPr>
        <w:t>惠州市公共资源交易中心</w:t>
      </w:r>
    </w:p>
    <w:p>
      <w:pPr>
        <w:spacing w:line="360" w:lineRule="auto"/>
        <w:ind w:firstLine="5120" w:firstLineChars="1600"/>
        <w:rPr>
          <w:rFonts w:hint="default" w:ascii="仿宋_GB2312" w:eastAsia="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eastAsia="仿宋_GB2312"/>
          <w:sz w:val="32"/>
          <w:szCs w:val="32"/>
          <w:lang w:val="en-US" w:eastAsia="zh-CN"/>
        </w:rPr>
        <w:t>2020年9月30日</w:t>
      </w: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7"/>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540"/>
        <w:gridCol w:w="735"/>
        <w:gridCol w:w="735"/>
        <w:gridCol w:w="765"/>
        <w:gridCol w:w="792"/>
        <w:gridCol w:w="933"/>
        <w:gridCol w:w="639"/>
        <w:gridCol w:w="1572"/>
        <w:gridCol w:w="936"/>
        <w:gridCol w:w="642"/>
        <w:gridCol w:w="118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64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54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3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73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6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69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864"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645" w:type="dxa"/>
            <w:vMerge w:val="continue"/>
            <w:vAlign w:val="center"/>
          </w:tcPr>
          <w:p>
            <w:pPr>
              <w:adjustRightInd w:val="0"/>
              <w:snapToGrid w:val="0"/>
              <w:spacing w:line="320" w:lineRule="exact"/>
              <w:jc w:val="center"/>
              <w:rPr>
                <w:rFonts w:hint="eastAsia" w:ascii="仿宋_GB2312" w:eastAsia="仿宋_GB2312"/>
                <w:b/>
                <w:bCs/>
              </w:rPr>
            </w:pPr>
          </w:p>
        </w:tc>
        <w:tc>
          <w:tcPr>
            <w:tcW w:w="540" w:type="dxa"/>
            <w:vMerge w:val="continue"/>
            <w:vAlign w:val="center"/>
          </w:tcPr>
          <w:p>
            <w:pPr>
              <w:adjustRightInd w:val="0"/>
              <w:snapToGrid w:val="0"/>
              <w:spacing w:line="320" w:lineRule="exact"/>
              <w:jc w:val="center"/>
              <w:rPr>
                <w:rFonts w:hint="eastAsia" w:ascii="仿宋_GB2312" w:eastAsia="仿宋_GB2312"/>
                <w:b/>
                <w:bCs/>
              </w:rPr>
            </w:pPr>
          </w:p>
        </w:tc>
        <w:tc>
          <w:tcPr>
            <w:tcW w:w="735" w:type="dxa"/>
            <w:vMerge w:val="continue"/>
            <w:vAlign w:val="center"/>
          </w:tcPr>
          <w:p>
            <w:pPr>
              <w:adjustRightInd w:val="0"/>
              <w:snapToGrid w:val="0"/>
              <w:spacing w:line="320" w:lineRule="exact"/>
              <w:jc w:val="center"/>
              <w:rPr>
                <w:rFonts w:hint="eastAsia" w:ascii="仿宋_GB2312" w:eastAsia="仿宋_GB2312"/>
                <w:b/>
                <w:bCs/>
              </w:rPr>
            </w:pPr>
          </w:p>
        </w:tc>
        <w:tc>
          <w:tcPr>
            <w:tcW w:w="735" w:type="dxa"/>
            <w:vMerge w:val="continue"/>
            <w:vAlign w:val="center"/>
          </w:tcPr>
          <w:p>
            <w:pPr>
              <w:adjustRightInd w:val="0"/>
              <w:snapToGrid w:val="0"/>
              <w:spacing w:line="320" w:lineRule="exact"/>
              <w:jc w:val="center"/>
              <w:rPr>
                <w:rFonts w:hint="eastAsia" w:ascii="仿宋_GB2312" w:eastAsia="仿宋_GB2312"/>
                <w:b/>
                <w:bCs/>
              </w:rPr>
            </w:pPr>
          </w:p>
        </w:tc>
        <w:tc>
          <w:tcPr>
            <w:tcW w:w="765" w:type="dxa"/>
            <w:vMerge w:val="continue"/>
            <w:vAlign w:val="center"/>
          </w:tcPr>
          <w:p>
            <w:pPr>
              <w:adjustRightInd w:val="0"/>
              <w:snapToGrid w:val="0"/>
              <w:spacing w:line="320" w:lineRule="exact"/>
              <w:jc w:val="center"/>
              <w:rPr>
                <w:rFonts w:hint="eastAsia" w:ascii="仿宋_GB2312" w:eastAsia="仿宋_GB2312"/>
                <w:b/>
                <w:bCs/>
              </w:rPr>
            </w:pPr>
          </w:p>
        </w:tc>
        <w:tc>
          <w:tcPr>
            <w:tcW w:w="792"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933"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建筑密度</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39"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572"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936"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642"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ascii="仿宋_GB2312" w:eastAsia="仿宋_GB2312"/>
                <w:b/>
                <w:bCs/>
              </w:rPr>
            </w:pPr>
            <w:r>
              <w:rPr>
                <w:rFonts w:hint="eastAsia" w:ascii="宋体" w:hAnsi="宋体" w:cs="宋体"/>
                <w:b/>
                <w:szCs w:val="21"/>
              </w:rPr>
              <w:t>（％）</w:t>
            </w:r>
          </w:p>
        </w:tc>
        <w:tc>
          <w:tcPr>
            <w:tcW w:w="1182" w:type="dxa"/>
            <w:vAlign w:val="center"/>
          </w:tcPr>
          <w:p>
            <w:pPr>
              <w:spacing w:line="320" w:lineRule="exact"/>
              <w:ind w:left="44" w:right="-53" w:rightChars="-25" w:hanging="44" w:hangingChars="21"/>
              <w:jc w:val="center"/>
              <w:rPr>
                <w:rFonts w:hint="eastAsia" w:ascii="仿宋_GB2312" w:eastAsia="仿宋_GB2312"/>
                <w:b/>
                <w:bCs/>
              </w:rPr>
            </w:pPr>
            <w:r>
              <w:rPr>
                <w:rFonts w:hint="eastAsia" w:ascii="仿宋_GB2312" w:eastAsia="仿宋_GB2312"/>
                <w:b/>
                <w:bCs/>
                <w:szCs w:val="21"/>
              </w:rPr>
              <w:t>适建性</w:t>
            </w:r>
          </w:p>
          <w:p>
            <w:pPr>
              <w:autoSpaceDE w:val="0"/>
              <w:autoSpaceDN w:val="0"/>
              <w:adjustRightInd w:val="0"/>
              <w:spacing w:line="240" w:lineRule="exact"/>
              <w:jc w:val="center"/>
              <w:rPr>
                <w:rFonts w:hint="eastAsia" w:ascii="仿宋_GB2312" w:eastAsia="仿宋_GB2312"/>
                <w:b/>
                <w:bCs/>
              </w:rPr>
            </w:pPr>
          </w:p>
        </w:tc>
        <w:tc>
          <w:tcPr>
            <w:tcW w:w="864"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64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GP2020-35</w:t>
            </w:r>
          </w:p>
        </w:tc>
        <w:tc>
          <w:tcPr>
            <w:tcW w:w="540" w:type="dxa"/>
            <w:vAlign w:val="center"/>
          </w:tcPr>
          <w:p>
            <w:pPr>
              <w:jc w:val="center"/>
              <w:rPr>
                <w:rFonts w:hint="eastAsia" w:ascii="仿宋_GB2312" w:hAnsi="Times New Roman" w:eastAsia="仿宋_GB2312"/>
                <w:szCs w:val="21"/>
              </w:rPr>
            </w:pPr>
            <w:r>
              <w:rPr>
                <w:rFonts w:hint="eastAsia" w:ascii="仿宋_GB2312" w:eastAsia="仿宋_GB2312"/>
                <w:szCs w:val="21"/>
                <w:lang w:val="en-US" w:eastAsia="zh-CN"/>
              </w:rPr>
              <w:t>惠州市惠城区</w:t>
            </w:r>
            <w:r>
              <w:rPr>
                <w:rFonts w:hint="eastAsia" w:ascii="仿宋_GB2312" w:hAnsi="Times New Roman" w:eastAsia="仿宋_GB2312"/>
                <w:szCs w:val="21"/>
                <w:lang w:eastAsia="zh-CN"/>
              </w:rPr>
              <w:t>鹿江沥南岸</w:t>
            </w:r>
          </w:p>
        </w:tc>
        <w:tc>
          <w:tcPr>
            <w:tcW w:w="735" w:type="dxa"/>
            <w:vAlign w:val="center"/>
          </w:tcPr>
          <w:p>
            <w:pPr>
              <w:jc w:val="center"/>
              <w:rPr>
                <w:rFonts w:hint="eastAsia" w:ascii="仿宋_GB2312" w:hAnsi="Times New Roman" w:eastAsia="仿宋_GB2312"/>
                <w:szCs w:val="21"/>
              </w:rPr>
            </w:pPr>
            <w:r>
              <w:rPr>
                <w:rFonts w:hint="eastAsia" w:ascii="仿宋_GB2312" w:hAnsi="Times New Roman" w:eastAsia="仿宋_GB2312"/>
                <w:szCs w:val="21"/>
                <w:lang w:val="en-US" w:eastAsia="zh-CN"/>
              </w:rPr>
              <w:t>LJL-47-19</w:t>
            </w:r>
          </w:p>
        </w:tc>
        <w:tc>
          <w:tcPr>
            <w:tcW w:w="735" w:type="dxa"/>
            <w:tcMar>
              <w:left w:w="0" w:type="dxa"/>
              <w:right w:w="0" w:type="dxa"/>
            </w:tcMar>
            <w:vAlign w:val="center"/>
          </w:tcPr>
          <w:p>
            <w:pPr>
              <w:jc w:val="center"/>
              <w:rPr>
                <w:rFonts w:hint="eastAsia" w:ascii="仿宋_GB2312" w:hAnsi="Times New Roman" w:eastAsia="仿宋_GB2312"/>
                <w:szCs w:val="21"/>
              </w:rPr>
            </w:pPr>
            <w:r>
              <w:rPr>
                <w:rFonts w:hint="eastAsia" w:ascii="仿宋_GB2312" w:hAnsi="Times New Roman" w:eastAsia="仿宋_GB2312"/>
                <w:szCs w:val="21"/>
                <w:lang w:eastAsia="zh-CN"/>
              </w:rPr>
              <w:t>城镇</w:t>
            </w:r>
            <w:r>
              <w:rPr>
                <w:rFonts w:hint="eastAsia" w:ascii="仿宋_GB2312" w:hAnsi="Times New Roman" w:eastAsia="仿宋_GB2312"/>
                <w:szCs w:val="21"/>
              </w:rPr>
              <w:t>住</w:t>
            </w:r>
            <w:r>
              <w:rPr>
                <w:rFonts w:hint="eastAsia" w:ascii="仿宋_GB2312" w:hAnsi="Times New Roman" w:eastAsia="仿宋_GB2312"/>
                <w:szCs w:val="21"/>
                <w:lang w:eastAsia="zh-CN"/>
              </w:rPr>
              <w:t>宅及商服</w:t>
            </w:r>
            <w:r>
              <w:rPr>
                <w:rFonts w:hint="eastAsia" w:ascii="仿宋_GB2312" w:hAnsi="Times New Roman" w:eastAsia="仿宋_GB2312"/>
                <w:szCs w:val="21"/>
              </w:rPr>
              <w:t>用地</w:t>
            </w:r>
          </w:p>
        </w:tc>
        <w:tc>
          <w:tcPr>
            <w:tcW w:w="765" w:type="dxa"/>
            <w:vAlign w:val="center"/>
          </w:tcPr>
          <w:p>
            <w:pPr>
              <w:adjustRightInd w:val="0"/>
              <w:snapToGrid w:val="0"/>
              <w:spacing w:line="40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2"/>
                <w:sz w:val="21"/>
                <w:szCs w:val="21"/>
                <w:lang w:val="en-US"/>
              </w:rPr>
              <w:t>35566.18</w:t>
            </w:r>
          </w:p>
        </w:tc>
        <w:tc>
          <w:tcPr>
            <w:tcW w:w="792"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2"/>
                <w:sz w:val="21"/>
                <w:szCs w:val="21"/>
                <w:lang w:val="en-US"/>
              </w:rPr>
              <w:t>40996.77</w:t>
            </w:r>
          </w:p>
        </w:tc>
        <w:tc>
          <w:tcPr>
            <w:tcW w:w="933" w:type="dxa"/>
            <w:vAlign w:val="center"/>
          </w:tcPr>
          <w:p>
            <w:pPr>
              <w:adjustRightInd w:val="0"/>
              <w:snapToGrid w:val="0"/>
              <w:spacing w:line="40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w:t>
            </w:r>
            <w:r>
              <w:rPr>
                <w:rFonts w:hint="default" w:ascii="Times New Roman" w:hAnsi="Times New Roman" w:eastAsia="仿宋_GB2312" w:cs="Times New Roman"/>
                <w:kern w:val="2"/>
                <w:sz w:val="21"/>
                <w:szCs w:val="21"/>
                <w:lang w:val="en-US" w:eastAsia="zh-CN"/>
              </w:rPr>
              <w:t>35</w:t>
            </w:r>
            <w:r>
              <w:rPr>
                <w:rFonts w:hint="default" w:ascii="Times New Roman" w:hAnsi="Times New Roman" w:eastAsia="仿宋_GB2312" w:cs="Times New Roman"/>
                <w:kern w:val="2"/>
                <w:sz w:val="21"/>
                <w:szCs w:val="21"/>
                <w:lang w:val="en-US"/>
              </w:rPr>
              <w:t>％</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sz w:val="21"/>
                <w:szCs w:val="21"/>
                <w:lang w:eastAsia="zh-CN"/>
              </w:rPr>
              <w:t>住宅建筑密度</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val="en-US" w:eastAsia="zh-CN"/>
              </w:rPr>
              <w:t>22</w:t>
            </w:r>
            <w:r>
              <w:rPr>
                <w:rFonts w:hint="default" w:ascii="Times New Roman" w:hAnsi="Times New Roman" w:eastAsia="仿宋_GB2312" w:cs="Times New Roman"/>
                <w:sz w:val="21"/>
                <w:szCs w:val="21"/>
              </w:rPr>
              <w:t>％</w:t>
            </w:r>
            <w:r>
              <w:rPr>
                <w:rFonts w:hint="default" w:ascii="Times New Roman" w:hAnsi="Times New Roman" w:eastAsia="仿宋_GB2312" w:cs="Times New Roman"/>
                <w:sz w:val="21"/>
                <w:szCs w:val="21"/>
                <w:lang w:eastAsia="zh-CN"/>
              </w:rPr>
              <w:t>）</w:t>
            </w:r>
          </w:p>
        </w:tc>
        <w:tc>
          <w:tcPr>
            <w:tcW w:w="639" w:type="dxa"/>
            <w:vAlign w:val="center"/>
          </w:tcPr>
          <w:p>
            <w:pPr>
              <w:adjustRightInd w:val="0"/>
              <w:snapToGrid w:val="0"/>
              <w:spacing w:line="40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5</w:t>
            </w:r>
          </w:p>
        </w:tc>
        <w:tc>
          <w:tcPr>
            <w:tcW w:w="1572" w:type="dxa"/>
            <w:vAlign w:val="center"/>
          </w:tcPr>
          <w:p>
            <w:pPr>
              <w:adjustRightInd w:val="0"/>
              <w:snapToGrid w:val="0"/>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≤143489㎡(其中：商业、商务建筑面积≤15%（不得建设公寓）；住宅面积&lt;115765；配套设施建筑面积&gt;6200</w:t>
            </w:r>
            <w:r>
              <w:rPr>
                <w:rFonts w:hint="default" w:ascii="Times New Roman" w:hAnsi="Times New Roman" w:eastAsia="仿宋_GB2312" w:cs="Times New Roman"/>
                <w:sz w:val="21"/>
                <w:szCs w:val="21"/>
              </w:rPr>
              <w:t>）</w:t>
            </w:r>
          </w:p>
        </w:tc>
        <w:tc>
          <w:tcPr>
            <w:tcW w:w="936" w:type="dxa"/>
            <w:vAlign w:val="center"/>
          </w:tcPr>
          <w:p>
            <w:pPr>
              <w:adjustRightInd w:val="0"/>
              <w:snapToGrid w:val="0"/>
              <w:spacing w:line="4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每100㎡计容积率面积≥1个</w:t>
            </w:r>
          </w:p>
        </w:tc>
        <w:tc>
          <w:tcPr>
            <w:tcW w:w="642" w:type="dxa"/>
            <w:vAlign w:val="center"/>
          </w:tcPr>
          <w:p>
            <w:pPr>
              <w:adjustRightInd w:val="0"/>
              <w:snapToGrid w:val="0"/>
              <w:spacing w:line="400" w:lineRule="exact"/>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≥3</w:t>
            </w:r>
            <w:r>
              <w:rPr>
                <w:rFonts w:hint="default" w:ascii="Times New Roman" w:hAnsi="Times New Roman" w:eastAsia="仿宋_GB2312" w:cs="Times New Roman"/>
                <w:sz w:val="21"/>
                <w:szCs w:val="21"/>
                <w:lang w:val="en-US" w:eastAsia="zh-CN"/>
              </w:rPr>
              <w:t>0</w:t>
            </w:r>
          </w:p>
        </w:tc>
        <w:tc>
          <w:tcPr>
            <w:tcW w:w="1182" w:type="dxa"/>
            <w:vAlign w:val="center"/>
          </w:tcPr>
          <w:p>
            <w:pPr>
              <w:ind w:leftChars="-51" w:right="-118" w:rightChars="-56" w:hanging="107" w:hangingChars="51"/>
              <w:jc w:val="lef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住宅</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rPr>
              <w:t>商业</w:t>
            </w:r>
            <w:r>
              <w:rPr>
                <w:rFonts w:hint="default" w:ascii="Times New Roman" w:hAnsi="Times New Roman" w:eastAsia="仿宋_GB2312" w:cs="Times New Roman"/>
                <w:color w:val="000000"/>
                <w:sz w:val="21"/>
                <w:szCs w:val="21"/>
                <w:lang w:eastAsia="zh-CN"/>
              </w:rPr>
              <w:t>和商务及</w:t>
            </w:r>
            <w:r>
              <w:rPr>
                <w:rFonts w:hint="default" w:ascii="Times New Roman" w:hAnsi="Times New Roman" w:eastAsia="仿宋_GB2312" w:cs="Times New Roman"/>
                <w:color w:val="000000"/>
                <w:sz w:val="21"/>
                <w:szCs w:val="21"/>
              </w:rPr>
              <w:t>配套设施</w:t>
            </w:r>
          </w:p>
        </w:tc>
        <w:tc>
          <w:tcPr>
            <w:tcW w:w="864" w:type="dxa"/>
            <w:vAlign w:val="center"/>
          </w:tcPr>
          <w:p>
            <w:pPr>
              <w:ind w:leftChars="-51" w:right="-118" w:rightChars="-56" w:hanging="107" w:hangingChars="51"/>
              <w:jc w:val="left"/>
              <w:rPr>
                <w:rFonts w:hint="eastAsia" w:ascii="仿宋_GB2312" w:hAnsi="仿宋_GB2312" w:eastAsia="仿宋_GB2312"/>
                <w:color w:val="000000"/>
                <w:szCs w:val="21"/>
              </w:rPr>
            </w:pPr>
            <w:r>
              <w:rPr>
                <w:rFonts w:hint="eastAsia" w:ascii="仿宋_GB2312" w:hAnsi="仿宋_GB2312" w:eastAsia="仿宋_GB2312"/>
                <w:color w:val="000000"/>
                <w:szCs w:val="21"/>
              </w:rPr>
              <w:t>住宅70年</w:t>
            </w:r>
            <w:r>
              <w:rPr>
                <w:rFonts w:hint="eastAsia" w:ascii="仿宋_GB2312" w:hAnsi="仿宋_GB2312" w:eastAsia="仿宋_GB2312"/>
                <w:color w:val="000000"/>
                <w:szCs w:val="21"/>
                <w:lang w:eastAsia="zh-CN"/>
              </w:rPr>
              <w:t>、</w:t>
            </w:r>
            <w:r>
              <w:rPr>
                <w:rFonts w:hint="eastAsia" w:ascii="仿宋_GB2312" w:hAnsi="仿宋_GB2312" w:eastAsia="仿宋_GB2312"/>
                <w:color w:val="000000"/>
                <w:szCs w:val="21"/>
              </w:rPr>
              <w:t>商服40年</w:t>
            </w:r>
          </w:p>
        </w:tc>
      </w:tr>
    </w:tbl>
    <w:p>
      <w:pPr>
        <w:tabs>
          <w:tab w:val="left" w:pos="11340"/>
        </w:tabs>
        <w:spacing w:line="600" w:lineRule="exact"/>
        <w:rPr>
          <w:rFonts w:hint="eastAsia" w:ascii="仿宋_GB2312" w:eastAsia="仿宋_GB2312"/>
          <w:sz w:val="32"/>
          <w:szCs w:val="32"/>
        </w:rPr>
      </w:pPr>
    </w:p>
    <w:p>
      <w:pPr>
        <w:ind w:firstLine="150" w:firstLineChars="50"/>
        <w:jc w:val="right"/>
        <w:rPr>
          <w:rFonts w:ascii="仿宋_GB2312" w:hAnsi="楷体" w:eastAsia="仿宋_GB2312"/>
          <w:sz w:val="30"/>
        </w:rPr>
      </w:pPr>
    </w:p>
    <w:p>
      <w:pPr>
        <w:pStyle w:val="8"/>
        <w:ind w:firstLine="0"/>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Batang">
    <w:altName w:val="Malgun Gothic"/>
    <w:panose1 w:val="02030600000101010101"/>
    <w:charset w:val="81"/>
    <w:family w:val="roman"/>
    <w:pitch w:val="default"/>
    <w:sig w:usb0="00000000" w:usb1="00000000" w:usb2="00000030" w:usb3="00000000" w:csb0="4008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- 9 -</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eastAsia"/>
      </w:rPr>
    </w:pPr>
  </w:p>
  <w:p>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6451D"/>
    <w:rsid w:val="01461591"/>
    <w:rsid w:val="01E67656"/>
    <w:rsid w:val="08F829A3"/>
    <w:rsid w:val="174D30BE"/>
    <w:rsid w:val="1D703AED"/>
    <w:rsid w:val="24143B50"/>
    <w:rsid w:val="37285FD1"/>
    <w:rsid w:val="3FC57BED"/>
    <w:rsid w:val="4ACC7D2D"/>
    <w:rsid w:val="61AC55A4"/>
    <w:rsid w:val="72D6451D"/>
    <w:rsid w:val="739C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ParaAttribute8"/>
    <w:uiPriority w:val="0"/>
    <w:pPr>
      <w:widowControl w:val="0"/>
      <w:wordWrap w:val="0"/>
      <w:ind w:firstLine="6000"/>
      <w:jc w:val="both"/>
    </w:pPr>
    <w:rPr>
      <w:rFonts w:ascii="Times New Roman" w:hAnsi="Times New Roman" w:eastAsia="Batang"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28</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2020-09-29T08:16:00Z</dcterms:created>
  <dc:creator>黄春枚</dc:creator>
  <cp:lastModifiedBy>黄春枚</cp:lastModifiedBy>
  <cp:lastPrinted>2020-09-29T08:31:00Z</cp:lastPrinted>
  <dcterms:modified xsi:type="dcterms:W3CDTF">2020-09-30T03:16:43Z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