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pStyle w:val="6"/>
        <w:keepNext w:val="0"/>
        <w:keepLines w:val="0"/>
        <w:widowControl/>
        <w:suppressLineNumbers w:val="0"/>
        <w:spacing w:line="525" w:lineRule="atLeast"/>
        <w:jc w:val="center"/>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惠公易土市直[2021]009号</w:t>
      </w:r>
    </w:p>
    <w:p>
      <w:pPr>
        <w:spacing w:line="520" w:lineRule="exact"/>
        <w:ind w:firstLine="360" w:firstLineChars="200"/>
        <w:rPr>
          <w:rFonts w:hint="eastAsia" w:ascii="仿宋_GB2312" w:eastAsia="仿宋_GB2312"/>
          <w:sz w:val="18"/>
          <w:szCs w:val="18"/>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三、挂牌起始价为人民币52050</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500</w:t>
      </w:r>
      <w:r>
        <w:rPr>
          <w:rFonts w:hint="eastAsia" w:ascii="仿宋_GB2312" w:hAnsi="仿宋_GB2312" w:eastAsia="仿宋_GB2312" w:cs="仿宋_GB2312"/>
          <w:sz w:val="32"/>
          <w:szCs w:val="32"/>
        </w:rPr>
        <w:t>万元的整数倍。</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四、中华人民共和国境内外的法人、自然人和其他组织（除法律法规另有规定外）均可申请参加竞买。申请人可以单独申请，也可以联合申请：</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出让合同》，在竞得人按约定办理完新公司注册登记手续后，再与新公司签订《国有建设用地使用权出让合同变更协议》；也可按约定直接与新公司签订《出让合同》。</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五、该宗地竞买保证金可用人民币及外币（暂限于美元、港币）支付。</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六、申请人应具备的其他条件：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（一）缴交竞买保证金15615万元人民币，如以外币缴交竞买保证金的，须缴交美元</w:t>
      </w:r>
      <w:r>
        <w:rPr>
          <w:rFonts w:hint="eastAsia" w:ascii="仿宋_GB2312" w:hAnsi="仿宋_GB2312" w:eastAsia="仿宋_GB2312" w:cs="仿宋_GB2312"/>
          <w:sz w:val="32"/>
          <w:szCs w:val="32"/>
          <w:lang w:val="en-US" w:eastAsia="zh-CN"/>
        </w:rPr>
        <w:t>2420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港币</w:t>
      </w:r>
      <w:r>
        <w:rPr>
          <w:rFonts w:hint="eastAsia" w:ascii="仿宋_GB2312" w:hAnsi="仿宋_GB2312" w:eastAsia="仿宋_GB2312" w:cs="仿宋_GB2312"/>
          <w:sz w:val="32"/>
          <w:szCs w:val="32"/>
          <w:lang w:val="en-US" w:eastAsia="zh-CN"/>
        </w:rPr>
        <w:t>18758</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）存在下列违法违规违约行为之一的企业及其控股股东，不得参与竞买上述地块：</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1、存在伪造公文骗取用地和非法倒卖土地等犯罪行为的；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2、存在非法转让土地使用权等违法行为的；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3、因企业原因造成土地闲置一年以上且至报名日止未处罚完结的；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4、开发建设企业有违背出让合同约定条件开发利用土地情形且至报名日止未处罚完结的；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5、至报名日止仍拖欠政府地价款的;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6、被列入问题楼盘开发企业黑名单的;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7、存在其它被禁止竞买土地行为的。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七、本次国有建设用地使用权网上挂牌出让为无底价挂牌出让，按照价高者得的原则确定竞得人。</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次网上挂牌出让的详细资料和具体要求，见惠州市公共资源交易中心土地与矿业网上挂牌交易系统（www.hzgtjy.com）。申请人可在网上挂牌交易系统下载挂牌出让公告、须知及相关交易文件，并按上述文件规定的操作程序在网上参加竞买。</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九、有意竞买者可以自行到地块现场踏勘（可在网上挂牌交易系统查阅位置图和现状图）。</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十二、竞得人签订《成交确认书》后，缴交的保证金中按成交价的10%转作定金，竞得人签订《出让合同》后，定金转作土地出让价款。</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外币缴纳土地竞买保证金的，成交确认后，将在竞得人支付的外币保证金中扣除成交价款的10%（按成交当日汇率结汇）作为受让地块的定金，其余部分原路返回给竞得人，待竞得人按时缴清地价款后，再将定金退回。</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保证金少于成交价10%的，不足部分由竞得人在签订《成交确认书》之日起5个工作日内付清。</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十三、其它需要公告的事项</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sz w:val="32"/>
          <w:szCs w:val="32"/>
          <w:lang w:val="en-US" w:eastAsia="zh-CN"/>
        </w:rPr>
        <w:t>78060</w:t>
      </w:r>
      <w:r>
        <w:rPr>
          <w:rFonts w:hint="eastAsia" w:ascii="仿宋_GB2312" w:hAnsi="仿宋_GB2312" w:eastAsia="仿宋_GB2312" w:cs="仿宋_GB2312"/>
          <w:sz w:val="32"/>
          <w:szCs w:val="32"/>
        </w:rPr>
        <w:t>万元（含地价,不含地价溢价部分）。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（二）土地成交价款须以人民币支付,竞得人在签订《出让合同》之日起30日内付清全部成交价款。</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（三）该地权利清晰，安置补偿落实到位，没有法律经济纠纷，具备动工开发所必须的基本条件。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地块内的配套幼儿园用地应与地块同步规划设计、同步建设、同步验收交付使用，如TC04-02-10地块分期建设，该幼儿园应纳入首期工程。在办理用地供地手续时，应将整个地块办理出让手续，在出让合同中明确由地块使用权人按照规划要求和惠城区教育局提出的建设标准完成配套幼儿园建设并无偿移交，不动产登记部门在办理分割登记时，将幼儿园办至惠城区教育局名下，用途为教育用地，使用权性质为划拨；</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竞得人须配建总建筑面积不低于4850㎡的安置房并无偿移交政府，安置房套数、户型等详见安置房建设与移交协议。竞得人在竞得地块后须先与惠城区国有资产监督管理局签订安置房建设与移交协议后方可与市自然资源局签订《国有建设用地使用权出让合同》。</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）竞得人在用地红线内开发建设必须符合城市规划要求，必须按《</w:t>
      </w:r>
      <w:r>
        <w:rPr>
          <w:rFonts w:hint="eastAsia" w:ascii="仿宋_GB2312" w:hAnsi="仿宋_GB2312" w:eastAsia="仿宋_GB2312" w:cs="仿宋_GB2312"/>
          <w:sz w:val="32"/>
          <w:szCs w:val="32"/>
          <w:lang w:eastAsia="zh-CN"/>
        </w:rPr>
        <w:t>建设用地规划设计条件</w:t>
      </w:r>
      <w:r>
        <w:rPr>
          <w:rFonts w:hint="eastAsia" w:ascii="仿宋_GB2312" w:hAnsi="仿宋_GB2312" w:eastAsia="仿宋_GB2312" w:cs="仿宋_GB2312"/>
          <w:sz w:val="32"/>
          <w:szCs w:val="32"/>
        </w:rPr>
        <w:t>》（案卷编号：PB20</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val="en-US" w:eastAsia="zh-CN"/>
        </w:rPr>
        <w:t>10004</w:t>
      </w:r>
      <w:r>
        <w:rPr>
          <w:rFonts w:hint="eastAsia" w:ascii="仿宋_GB2312" w:hAnsi="仿宋_GB2312" w:eastAsia="仿宋_GB2312" w:cs="仿宋_GB2312"/>
          <w:sz w:val="32"/>
          <w:szCs w:val="32"/>
        </w:rPr>
        <w:t>）规划控制指标要求及有关规定进行规划设计。</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竞得人有下列行为之一的，视为违约，取消竞得人资格，</w:t>
      </w:r>
      <w:r>
        <w:rPr>
          <w:rFonts w:hint="eastAsia" w:ascii="仿宋_GB2312" w:hAnsi="仿宋_GB2312" w:eastAsia="仿宋_GB2312" w:cs="仿宋_GB2312"/>
          <w:sz w:val="32"/>
          <w:szCs w:val="32"/>
          <w:lang w:val="en-US" w:eastAsia="zh-CN"/>
        </w:rPr>
        <w:t>定金不予退还</w:t>
      </w:r>
      <w:r>
        <w:rPr>
          <w:rFonts w:hint="eastAsia" w:ascii="仿宋_GB2312" w:hAnsi="仿宋_GB2312" w:eastAsia="仿宋_GB2312" w:cs="仿宋_GB2312"/>
          <w:sz w:val="32"/>
          <w:szCs w:val="32"/>
        </w:rPr>
        <w:t>,并由有关部门依法处理;造成损失的，竞得人还应依法承担赔偿责任：</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1、不符合竞买资格条件的；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2、采取行贿、恶意串通等非法手段竞得的；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3、竞得人以其他非法手段竞得的；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4、竞得人逾期或拒绝签订《成交确认书》的；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5、竞得人逾期或拒绝签订《出让合同》的；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6、不按本须知规定提供有关纸质文件材料，或提供虚假文件材料、隐瞒重要事实，引起交易纠纷的；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7、构成违约责任的其他行为。</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）挂牌出让价款不含应由竞得人缴纳的契税、印花税等有关费用。</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十四、该宗地</w:t>
      </w:r>
      <w:r>
        <w:rPr>
          <w:rFonts w:hint="eastAsia" w:ascii="仿宋_GB2312" w:hAnsi="仿宋_GB2312" w:eastAsia="仿宋_GB2312" w:cs="仿宋_GB2312"/>
          <w:sz w:val="32"/>
          <w:szCs w:val="32"/>
          <w:lang w:val="en-US" w:eastAsia="zh-CN"/>
        </w:rPr>
        <w:t>采</w:t>
      </w:r>
      <w:r>
        <w:rPr>
          <w:rFonts w:hint="eastAsia" w:ascii="仿宋_GB2312" w:hAnsi="仿宋_GB2312" w:eastAsia="仿宋_GB2312" w:cs="仿宋_GB2312"/>
          <w:sz w:val="32"/>
          <w:szCs w:val="32"/>
        </w:rPr>
        <w:t>用网上挂牌方式出让，交易全程适用《惠州市国有建设用地使用权和矿业权电子挂牌交易规则》（惠府〔2014〕167号）。</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十五、</w:t>
      </w:r>
      <w:r>
        <w:rPr>
          <w:rFonts w:hint="eastAsia" w:ascii="仿宋_GB2312" w:hAnsi="仿宋_GB2312" w:eastAsia="仿宋_GB2312" w:cs="仿宋_GB2312"/>
          <w:sz w:val="32"/>
          <w:szCs w:val="32"/>
        </w:rPr>
        <w:t>联系方式：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惠城区三新北路31号市民服务中心3号楼一楼108室</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联系人：袁小姐、黄小姐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联系电话：（0752）7121026、7121042</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数字证书办理地址：惠州市江北云山西路二号帝景国际商务中心七层18-22房。</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spacing w:line="520" w:lineRule="exact"/>
        <w:ind w:right="640"/>
        <w:rPr>
          <w:rFonts w:hint="eastAsia" w:ascii="仿宋_GB2312" w:hAnsi="仿宋_GB2312" w:eastAsia="仿宋_GB2312" w:cs="仿宋_GB2312"/>
          <w:sz w:val="32"/>
          <w:szCs w:val="32"/>
        </w:rPr>
      </w:pPr>
    </w:p>
    <w:p>
      <w:pPr>
        <w:spacing w:line="520" w:lineRule="exact"/>
        <w:ind w:right="640" w:firstLine="5033" w:firstLineChars="15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w:t>
      </w:r>
    </w:p>
    <w:p>
      <w:pPr>
        <w:spacing w:line="520" w:lineRule="exact"/>
        <w:ind w:right="640" w:firstLine="4640" w:firstLineChars="1450"/>
        <w:rPr>
          <w:rFonts w:ascii="仿宋_GB2312" w:eastAsia="仿宋_GB2312"/>
          <w:sz w:val="32"/>
          <w:szCs w:val="32"/>
        </w:rPr>
      </w:pPr>
      <w:r>
        <w:rPr>
          <w:rFonts w:hint="eastAsia" w:ascii="仿宋_GB2312" w:hAnsi="仿宋_GB2312" w:eastAsia="仿宋_GB2312" w:cs="仿宋_GB2312"/>
          <w:sz w:val="32"/>
          <w:szCs w:val="32"/>
        </w:rPr>
        <w:t>惠州市公共资源交易中心</w:t>
      </w:r>
    </w:p>
    <w:p>
      <w:pPr>
        <w:pStyle w:val="2"/>
        <w:ind w:firstLine="5120" w:firstLineChars="1600"/>
        <w:rPr>
          <w:rFonts w:hint="default" w:eastAsia="仿宋_GB231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eastAsia="仿宋_GB2312"/>
          <w:sz w:val="32"/>
          <w:szCs w:val="32"/>
          <w:lang w:val="en-US" w:eastAsia="zh-CN"/>
        </w:rPr>
        <w:t>2021年3月12日</w:t>
      </w:r>
    </w:p>
    <w:p>
      <w:pPr>
        <w:spacing w:line="360" w:lineRule="auto"/>
        <w:rPr>
          <w:rFonts w:hint="eastAsia" w:ascii="仿宋_GB2312" w:eastAsia="仿宋_GB2312"/>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9"/>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737"/>
        <w:gridCol w:w="668"/>
        <w:gridCol w:w="586"/>
        <w:gridCol w:w="1078"/>
        <w:gridCol w:w="1022"/>
        <w:gridCol w:w="737"/>
        <w:gridCol w:w="722"/>
        <w:gridCol w:w="1078"/>
        <w:gridCol w:w="1091"/>
        <w:gridCol w:w="553"/>
        <w:gridCol w:w="1182"/>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662"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737"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668"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586"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1078"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385"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864"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662" w:type="dxa"/>
            <w:vMerge w:val="continue"/>
            <w:vAlign w:val="center"/>
          </w:tcPr>
          <w:p>
            <w:pPr>
              <w:adjustRightInd w:val="0"/>
              <w:snapToGrid w:val="0"/>
              <w:spacing w:line="320" w:lineRule="exact"/>
              <w:jc w:val="center"/>
              <w:rPr>
                <w:rFonts w:hint="eastAsia" w:ascii="仿宋_GB2312" w:eastAsia="仿宋_GB2312"/>
                <w:b/>
                <w:bCs/>
              </w:rPr>
            </w:pPr>
          </w:p>
        </w:tc>
        <w:tc>
          <w:tcPr>
            <w:tcW w:w="737" w:type="dxa"/>
            <w:vMerge w:val="continue"/>
            <w:vAlign w:val="center"/>
          </w:tcPr>
          <w:p>
            <w:pPr>
              <w:adjustRightInd w:val="0"/>
              <w:snapToGrid w:val="0"/>
              <w:spacing w:line="320" w:lineRule="exact"/>
              <w:jc w:val="center"/>
              <w:rPr>
                <w:rFonts w:hint="eastAsia" w:ascii="仿宋_GB2312" w:eastAsia="仿宋_GB2312"/>
                <w:b/>
                <w:bCs/>
              </w:rPr>
            </w:pPr>
          </w:p>
        </w:tc>
        <w:tc>
          <w:tcPr>
            <w:tcW w:w="668" w:type="dxa"/>
            <w:vMerge w:val="continue"/>
            <w:vAlign w:val="center"/>
          </w:tcPr>
          <w:p>
            <w:pPr>
              <w:adjustRightInd w:val="0"/>
              <w:snapToGrid w:val="0"/>
              <w:spacing w:line="320" w:lineRule="exact"/>
              <w:jc w:val="center"/>
              <w:rPr>
                <w:rFonts w:hint="eastAsia" w:ascii="仿宋_GB2312" w:eastAsia="仿宋_GB2312"/>
                <w:b/>
                <w:bCs/>
              </w:rPr>
            </w:pPr>
          </w:p>
        </w:tc>
        <w:tc>
          <w:tcPr>
            <w:tcW w:w="586" w:type="dxa"/>
            <w:vMerge w:val="continue"/>
            <w:vAlign w:val="center"/>
          </w:tcPr>
          <w:p>
            <w:pPr>
              <w:adjustRightInd w:val="0"/>
              <w:snapToGrid w:val="0"/>
              <w:spacing w:line="320" w:lineRule="exact"/>
              <w:jc w:val="center"/>
              <w:rPr>
                <w:rFonts w:hint="eastAsia" w:ascii="仿宋_GB2312" w:eastAsia="仿宋_GB2312"/>
                <w:b/>
                <w:bCs/>
              </w:rPr>
            </w:pPr>
          </w:p>
        </w:tc>
        <w:tc>
          <w:tcPr>
            <w:tcW w:w="1078" w:type="dxa"/>
            <w:vMerge w:val="continue"/>
            <w:vAlign w:val="center"/>
          </w:tcPr>
          <w:p>
            <w:pPr>
              <w:adjustRightInd w:val="0"/>
              <w:snapToGrid w:val="0"/>
              <w:spacing w:line="320" w:lineRule="exact"/>
              <w:jc w:val="center"/>
              <w:rPr>
                <w:rFonts w:hint="eastAsia" w:ascii="仿宋_GB2312" w:eastAsia="仿宋_GB2312"/>
                <w:b/>
                <w:bCs/>
              </w:rPr>
            </w:pPr>
          </w:p>
        </w:tc>
        <w:tc>
          <w:tcPr>
            <w:tcW w:w="1022"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37"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建筑密度</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72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078"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91"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553"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ascii="仿宋_GB2312" w:eastAsia="仿宋_GB2312"/>
                <w:b/>
                <w:bCs/>
              </w:rPr>
            </w:pPr>
            <w:r>
              <w:rPr>
                <w:rFonts w:hint="eastAsia" w:ascii="宋体" w:hAnsi="宋体" w:cs="宋体"/>
                <w:b/>
                <w:szCs w:val="21"/>
              </w:rPr>
              <w:t>（％）</w:t>
            </w:r>
          </w:p>
        </w:tc>
        <w:tc>
          <w:tcPr>
            <w:tcW w:w="1182" w:type="dxa"/>
            <w:vAlign w:val="center"/>
          </w:tcPr>
          <w:p>
            <w:pPr>
              <w:spacing w:line="320" w:lineRule="exact"/>
              <w:ind w:left="44" w:right="-53" w:rightChars="-25" w:hanging="44" w:hangingChars="21"/>
              <w:jc w:val="center"/>
              <w:rPr>
                <w:rFonts w:hint="eastAsia" w:ascii="仿宋_GB2312" w:eastAsia="仿宋_GB2312"/>
                <w:b/>
                <w:bCs/>
              </w:rPr>
            </w:pPr>
            <w:r>
              <w:rPr>
                <w:rFonts w:hint="eastAsia" w:ascii="仿宋_GB2312" w:eastAsia="仿宋_GB2312"/>
                <w:b/>
                <w:bCs/>
                <w:szCs w:val="21"/>
              </w:rPr>
              <w:t>适建性</w:t>
            </w:r>
          </w:p>
          <w:p>
            <w:pPr>
              <w:autoSpaceDE w:val="0"/>
              <w:autoSpaceDN w:val="0"/>
              <w:adjustRightInd w:val="0"/>
              <w:spacing w:line="240" w:lineRule="exact"/>
              <w:jc w:val="center"/>
              <w:rPr>
                <w:rFonts w:hint="eastAsia" w:ascii="仿宋_GB2312" w:eastAsia="仿宋_GB2312"/>
                <w:b/>
                <w:bCs/>
              </w:rPr>
            </w:pPr>
          </w:p>
        </w:tc>
        <w:tc>
          <w:tcPr>
            <w:tcW w:w="864"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662" w:type="dxa"/>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GP2021-9</w:t>
            </w:r>
          </w:p>
        </w:tc>
        <w:tc>
          <w:tcPr>
            <w:tcW w:w="737" w:type="dxa"/>
            <w:vAlign w:val="center"/>
          </w:tcPr>
          <w:p>
            <w:pPr>
              <w:jc w:val="center"/>
              <w:rPr>
                <w:rFonts w:hint="eastAsia" w:ascii="仿宋_GB2312" w:hAnsi="Times New Roman" w:eastAsia="仿宋_GB2312"/>
                <w:szCs w:val="21"/>
              </w:rPr>
            </w:pPr>
            <w:r>
              <w:rPr>
                <w:rFonts w:hint="eastAsia" w:ascii="仿宋_GB2312" w:eastAsia="仿宋_GB2312" w:cs="Times New Roman"/>
                <w:szCs w:val="21"/>
                <w:lang w:val="en-US" w:eastAsia="zh-CN"/>
              </w:rPr>
              <w:t>惠州市惠城区</w:t>
            </w:r>
            <w:r>
              <w:rPr>
                <w:rFonts w:hint="eastAsia" w:ascii="仿宋_GB2312" w:hAnsi="Times New Roman" w:eastAsia="仿宋_GB2312" w:cs="Times New Roman"/>
                <w:szCs w:val="21"/>
                <w:lang w:val="en-US" w:eastAsia="zh-CN"/>
              </w:rPr>
              <w:t>小金口汤村</w:t>
            </w:r>
            <w:r>
              <w:rPr>
                <w:rFonts w:hint="eastAsia" w:ascii="仿宋_GB2312" w:eastAsia="仿宋_GB2312" w:cs="Times New Roman"/>
                <w:szCs w:val="21"/>
                <w:lang w:val="en-US" w:eastAsia="zh-CN"/>
              </w:rPr>
              <w:t>TC04-02-10地块</w:t>
            </w:r>
          </w:p>
        </w:tc>
        <w:tc>
          <w:tcPr>
            <w:tcW w:w="668" w:type="dxa"/>
            <w:vAlign w:val="center"/>
          </w:tcPr>
          <w:p>
            <w:pPr>
              <w:jc w:val="center"/>
              <w:rPr>
                <w:rFonts w:hint="default" w:ascii="仿宋_GB2312" w:eastAsia="仿宋_GB2312" w:cs="Times New Roman"/>
                <w:szCs w:val="21"/>
                <w:lang w:val="en-US" w:eastAsia="zh-CN"/>
              </w:rPr>
            </w:pPr>
            <w:r>
              <w:rPr>
                <w:rFonts w:hint="eastAsia" w:ascii="仿宋_GB2312" w:eastAsia="仿宋_GB2312" w:cs="Times New Roman"/>
                <w:szCs w:val="21"/>
                <w:lang w:val="en-US" w:eastAsia="zh-CN"/>
              </w:rPr>
              <w:t>TC04-02-10</w:t>
            </w:r>
          </w:p>
        </w:tc>
        <w:tc>
          <w:tcPr>
            <w:tcW w:w="586" w:type="dxa"/>
            <w:tcMar>
              <w:left w:w="0" w:type="dxa"/>
              <w:right w:w="0" w:type="dxa"/>
            </w:tcMar>
            <w:vAlign w:val="center"/>
          </w:tcPr>
          <w:p>
            <w:pPr>
              <w:jc w:val="center"/>
              <w:rPr>
                <w:rFonts w:hint="eastAsia" w:ascii="仿宋_GB2312" w:eastAsia="仿宋_GB2312" w:cs="Times New Roman"/>
                <w:szCs w:val="21"/>
                <w:lang w:val="en-US" w:eastAsia="zh-CN"/>
              </w:rPr>
            </w:pPr>
            <w:r>
              <w:rPr>
                <w:rFonts w:hint="eastAsia" w:ascii="仿宋_GB2312" w:eastAsia="仿宋_GB2312" w:cs="Times New Roman"/>
                <w:szCs w:val="21"/>
                <w:lang w:val="en-US" w:eastAsia="zh-CN"/>
              </w:rPr>
              <w:t>住宅、商服用地</w:t>
            </w:r>
          </w:p>
        </w:tc>
        <w:tc>
          <w:tcPr>
            <w:tcW w:w="1078" w:type="dxa"/>
            <w:vAlign w:val="center"/>
          </w:tcPr>
          <w:p>
            <w:pPr>
              <w:jc w:val="center"/>
              <w:rPr>
                <w:rFonts w:hint="default" w:ascii="仿宋_GB2312" w:eastAsia="仿宋_GB2312" w:cs="Times New Roman"/>
                <w:szCs w:val="21"/>
                <w:lang w:val="en-US" w:eastAsia="zh-CN"/>
              </w:rPr>
            </w:pPr>
            <w:r>
              <w:rPr>
                <w:rFonts w:hint="eastAsia" w:ascii="仿宋_GB2312" w:eastAsia="仿宋_GB2312" w:cs="Times New Roman"/>
                <w:szCs w:val="21"/>
                <w:lang w:val="en-US" w:eastAsia="zh-CN"/>
              </w:rPr>
              <w:t>28668.91</w:t>
            </w:r>
          </w:p>
        </w:tc>
        <w:tc>
          <w:tcPr>
            <w:tcW w:w="1022" w:type="dxa"/>
            <w:vAlign w:val="center"/>
          </w:tcPr>
          <w:p>
            <w:pPr>
              <w:jc w:val="center"/>
              <w:rPr>
                <w:rFonts w:hint="default" w:ascii="仿宋_GB2312" w:eastAsia="仿宋_GB2312" w:cs="Times New Roman"/>
                <w:szCs w:val="21"/>
                <w:lang w:val="en-US" w:eastAsia="zh-CN"/>
              </w:rPr>
            </w:pPr>
            <w:r>
              <w:rPr>
                <w:rFonts w:hint="eastAsia" w:ascii="仿宋_GB2312" w:eastAsia="仿宋_GB2312" w:cs="Times New Roman"/>
                <w:szCs w:val="21"/>
                <w:lang w:val="en-US" w:eastAsia="zh-CN"/>
              </w:rPr>
              <w:t>34156.5</w:t>
            </w:r>
          </w:p>
        </w:tc>
        <w:tc>
          <w:tcPr>
            <w:tcW w:w="737" w:type="dxa"/>
            <w:vAlign w:val="center"/>
          </w:tcPr>
          <w:p>
            <w:pPr>
              <w:jc w:val="center"/>
              <w:rPr>
                <w:rFonts w:hint="eastAsia" w:ascii="仿宋_GB2312" w:eastAsia="仿宋_GB2312" w:cs="Times New Roman"/>
                <w:szCs w:val="21"/>
                <w:lang w:val="en-US" w:eastAsia="zh-CN"/>
              </w:rPr>
            </w:pPr>
            <w:r>
              <w:rPr>
                <w:rFonts w:hint="eastAsia" w:ascii="仿宋_GB2312" w:eastAsia="仿宋_GB2312" w:cs="Times New Roman"/>
                <w:szCs w:val="21"/>
                <w:lang w:val="en-US" w:eastAsia="zh-CN"/>
              </w:rPr>
              <w:t>≤</w:t>
            </w:r>
            <w:r>
              <w:rPr>
                <w:rFonts w:hint="default" w:ascii="仿宋_GB2312" w:eastAsia="仿宋_GB2312" w:cs="Times New Roman"/>
                <w:szCs w:val="21"/>
                <w:lang w:val="en-US" w:eastAsia="zh-CN"/>
              </w:rPr>
              <w:t>22</w:t>
            </w:r>
          </w:p>
        </w:tc>
        <w:tc>
          <w:tcPr>
            <w:tcW w:w="722" w:type="dxa"/>
            <w:vAlign w:val="center"/>
          </w:tcPr>
          <w:p>
            <w:pPr>
              <w:jc w:val="center"/>
              <w:rPr>
                <w:rFonts w:hint="default" w:ascii="仿宋_GB2312" w:eastAsia="仿宋_GB2312" w:cs="Times New Roman"/>
                <w:szCs w:val="21"/>
                <w:lang w:val="en-US" w:eastAsia="zh-CN"/>
              </w:rPr>
            </w:pPr>
            <w:r>
              <w:rPr>
                <w:rFonts w:hint="eastAsia" w:ascii="仿宋_GB2312" w:eastAsia="仿宋_GB2312" w:cs="Times New Roman"/>
                <w:szCs w:val="21"/>
                <w:lang w:val="en-US" w:eastAsia="zh-CN"/>
              </w:rPr>
              <w:t>≤2.8</w:t>
            </w:r>
          </w:p>
        </w:tc>
        <w:tc>
          <w:tcPr>
            <w:tcW w:w="1078" w:type="dxa"/>
            <w:vAlign w:val="center"/>
          </w:tcPr>
          <w:p>
            <w:pPr>
              <w:jc w:val="center"/>
              <w:rPr>
                <w:rFonts w:hint="eastAsia" w:ascii="仿宋_GB2312" w:eastAsia="仿宋_GB2312" w:cs="Times New Roman"/>
                <w:szCs w:val="21"/>
                <w:lang w:val="en-US" w:eastAsia="zh-CN"/>
              </w:rPr>
            </w:pPr>
            <w:r>
              <w:rPr>
                <w:rFonts w:hint="eastAsia" w:ascii="仿宋_GB2312" w:eastAsia="仿宋_GB2312" w:cs="Times New Roman"/>
                <w:szCs w:val="21"/>
                <w:lang w:val="en-US" w:eastAsia="zh-CN"/>
              </w:rPr>
              <w:t>≤95639</w:t>
            </w:r>
            <w:bookmarkStart w:id="0" w:name="_GoBack"/>
            <w:bookmarkEnd w:id="0"/>
          </w:p>
        </w:tc>
        <w:tc>
          <w:tcPr>
            <w:tcW w:w="1091" w:type="dxa"/>
            <w:vAlign w:val="center"/>
          </w:tcPr>
          <w:p>
            <w:pPr>
              <w:jc w:val="center"/>
              <w:rPr>
                <w:rFonts w:hint="eastAsia" w:ascii="仿宋_GB2312" w:eastAsia="仿宋_GB2312" w:cs="Times New Roman"/>
                <w:szCs w:val="21"/>
                <w:lang w:val="en-US" w:eastAsia="zh-CN"/>
              </w:rPr>
            </w:pPr>
            <w:r>
              <w:rPr>
                <w:rFonts w:hint="eastAsia" w:ascii="仿宋_GB2312" w:eastAsia="仿宋_GB2312" w:cs="Times New Roman"/>
                <w:szCs w:val="21"/>
                <w:lang w:val="en-US" w:eastAsia="zh-CN"/>
              </w:rPr>
              <w:t>住宅和商业每100平方米计容积率</w:t>
            </w:r>
            <w:r>
              <w:rPr>
                <w:rFonts w:hint="eastAsia" w:ascii="仿宋_GB2312" w:hAnsi="Times New Roman" w:eastAsia="仿宋_GB2312" w:cs="Times New Roman"/>
                <w:szCs w:val="21"/>
                <w:lang w:val="en-US" w:eastAsia="zh-CN"/>
              </w:rPr>
              <w:t>建筑</w:t>
            </w:r>
            <w:r>
              <w:rPr>
                <w:rFonts w:hint="eastAsia" w:ascii="仿宋_GB2312" w:eastAsia="仿宋_GB2312" w:cs="Times New Roman"/>
                <w:szCs w:val="21"/>
                <w:lang w:val="en-US" w:eastAsia="zh-CN"/>
              </w:rPr>
              <w:t>面积≥1个；</w:t>
            </w:r>
            <w:r>
              <w:rPr>
                <w:rFonts w:hint="eastAsia" w:ascii="仿宋_GB2312" w:hAnsi="Times New Roman" w:eastAsia="仿宋_GB2312" w:cs="Times New Roman"/>
                <w:szCs w:val="21"/>
                <w:lang w:val="en-US" w:eastAsia="zh-CN"/>
              </w:rPr>
              <w:t>幼儿园每100平方米计容积率建筑面积≥0.3个</w:t>
            </w:r>
          </w:p>
        </w:tc>
        <w:tc>
          <w:tcPr>
            <w:tcW w:w="553" w:type="dxa"/>
            <w:vAlign w:val="center"/>
          </w:tcPr>
          <w:p>
            <w:pPr>
              <w:jc w:val="center"/>
              <w:rPr>
                <w:rFonts w:hint="eastAsia" w:ascii="仿宋_GB2312" w:eastAsia="仿宋_GB2312" w:cs="Times New Roman"/>
                <w:szCs w:val="21"/>
                <w:lang w:val="en-US" w:eastAsia="zh-CN"/>
              </w:rPr>
            </w:pPr>
            <w:r>
              <w:rPr>
                <w:rFonts w:hint="eastAsia" w:ascii="仿宋_GB2312" w:eastAsia="仿宋_GB2312" w:cs="Times New Roman"/>
                <w:szCs w:val="21"/>
                <w:lang w:val="en-US" w:eastAsia="zh-CN"/>
              </w:rPr>
              <w:t>≥35</w:t>
            </w:r>
          </w:p>
        </w:tc>
        <w:tc>
          <w:tcPr>
            <w:tcW w:w="1182" w:type="dxa"/>
            <w:vAlign w:val="center"/>
          </w:tcPr>
          <w:p>
            <w:pPr>
              <w:jc w:val="center"/>
              <w:rPr>
                <w:rFonts w:hint="eastAsia" w:ascii="仿宋_GB2312" w:eastAsia="仿宋_GB2312" w:cs="Times New Roman"/>
                <w:szCs w:val="21"/>
                <w:lang w:val="en-US" w:eastAsia="zh-CN"/>
              </w:rPr>
            </w:pPr>
            <w:r>
              <w:rPr>
                <w:rFonts w:hint="eastAsia" w:ascii="仿宋_GB2312" w:eastAsia="仿宋_GB2312" w:cs="Times New Roman"/>
                <w:szCs w:val="21"/>
                <w:lang w:val="en-US" w:eastAsia="zh-CN"/>
              </w:rPr>
              <w:t>住宅、商业、幼儿园及配套设施</w:t>
            </w:r>
          </w:p>
        </w:tc>
        <w:tc>
          <w:tcPr>
            <w:tcW w:w="864" w:type="dxa"/>
            <w:vAlign w:val="center"/>
          </w:tcPr>
          <w:p>
            <w:pPr>
              <w:jc w:val="center"/>
              <w:rPr>
                <w:rFonts w:hint="eastAsia" w:ascii="仿宋_GB2312" w:eastAsia="仿宋_GB2312" w:cs="Times New Roman"/>
                <w:szCs w:val="21"/>
                <w:lang w:val="en-US" w:eastAsia="zh-CN"/>
              </w:rPr>
            </w:pPr>
            <w:r>
              <w:rPr>
                <w:rFonts w:hint="eastAsia" w:ascii="仿宋_GB2312" w:eastAsia="仿宋_GB2312" w:cs="Times New Roman"/>
                <w:szCs w:val="21"/>
                <w:lang w:val="en-US" w:eastAsia="zh-CN"/>
              </w:rPr>
              <w:t>住宅70年、商服40年</w:t>
            </w:r>
          </w:p>
        </w:tc>
      </w:tr>
    </w:tbl>
    <w:p>
      <w:pPr>
        <w:pStyle w:val="2"/>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- 9 -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CC2364"/>
    <w:rsid w:val="00020ACD"/>
    <w:rsid w:val="041B5E97"/>
    <w:rsid w:val="1A754778"/>
    <w:rsid w:val="1CD67FE3"/>
    <w:rsid w:val="1FF328F2"/>
    <w:rsid w:val="22E047C5"/>
    <w:rsid w:val="24142E06"/>
    <w:rsid w:val="2BCC2364"/>
    <w:rsid w:val="31857F9E"/>
    <w:rsid w:val="393355DC"/>
    <w:rsid w:val="3D0024C2"/>
    <w:rsid w:val="3E125061"/>
    <w:rsid w:val="45681955"/>
    <w:rsid w:val="46B03867"/>
    <w:rsid w:val="4FEB5AAE"/>
    <w:rsid w:val="64443DED"/>
    <w:rsid w:val="6A312720"/>
    <w:rsid w:val="6F6124D9"/>
    <w:rsid w:val="74232752"/>
    <w:rsid w:val="7DE6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12</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2021-03-09T07:55:00Z</dcterms:created>
  <dc:creator>袁秀玲</dc:creator>
  <cp:lastModifiedBy>袁秀玲</cp:lastModifiedBy>
  <cp:lastPrinted>2021-03-12T06:45:00Z</cp:lastPrinted>
  <dcterms:modified xsi:type="dcterms:W3CDTF">2021-03-12T07:54:02Z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