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eastAsia="方正小标宋_GBK"/>
          <w:b/>
          <w:bCs/>
          <w:spacing w:val="3"/>
          <w:sz w:val="44"/>
          <w:szCs w:val="44"/>
        </w:rPr>
      </w:pPr>
    </w:p>
    <w:p>
      <w:pPr>
        <w:tabs>
          <w:tab w:val="left" w:pos="11340"/>
        </w:tabs>
        <w:spacing w:line="520" w:lineRule="exact"/>
        <w:rPr>
          <w:rFonts w:eastAsia="方正小标宋_GBK"/>
          <w:b/>
          <w:bCs/>
          <w:spacing w:val="3"/>
          <w:sz w:val="44"/>
          <w:szCs w:val="44"/>
        </w:rPr>
      </w:pPr>
    </w:p>
    <w:p>
      <w:pPr>
        <w:tabs>
          <w:tab w:val="left" w:pos="11340"/>
        </w:tabs>
        <w:spacing w:line="520" w:lineRule="exact"/>
        <w:rPr>
          <w:rFonts w:eastAsia="方正小标宋_GBK"/>
          <w:b/>
          <w:bCs/>
          <w:spacing w:val="3"/>
          <w:sz w:val="44"/>
          <w:szCs w:val="44"/>
        </w:rPr>
      </w:pPr>
    </w:p>
    <w:p>
      <w:pPr>
        <w:tabs>
          <w:tab w:val="left" w:pos="11340"/>
        </w:tabs>
        <w:spacing w:line="520" w:lineRule="exact"/>
        <w:rPr>
          <w:rFonts w:eastAsia="方正小标宋_GBK"/>
          <w:b/>
          <w:bCs/>
          <w:spacing w:val="3"/>
          <w:sz w:val="48"/>
        </w:rPr>
      </w:pPr>
      <w:r>
        <w:rPr>
          <w:rFonts w:eastAsia="方正小标宋_GBK"/>
          <w:b/>
          <w:bCs/>
          <w:spacing w:val="3"/>
          <w:sz w:val="44"/>
          <w:szCs w:val="44"/>
        </w:rPr>
        <w:t>惠州市国有建设用地使用权网上挂牌</w:t>
      </w:r>
      <w:r>
        <w:rPr>
          <w:rFonts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012</w:t>
      </w:r>
      <w:r>
        <w:rPr>
          <w:rFonts w:hint="eastAsia" w:ascii="仿宋_GB2312" w:eastAsia="仿宋_GB2312"/>
          <w:sz w:val="32"/>
          <w:szCs w:val="32"/>
        </w:rPr>
        <w:t>号</w:t>
      </w:r>
    </w:p>
    <w:p>
      <w:pPr>
        <w:spacing w:line="520" w:lineRule="exact"/>
        <w:ind w:firstLine="360" w:firstLineChars="200"/>
        <w:rPr>
          <w:rFonts w:eastAsia="仿宋_GB2312"/>
          <w:sz w:val="18"/>
          <w:szCs w:val="18"/>
        </w:rPr>
      </w:pP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kinsoku/>
        <w:wordWrap/>
        <w:overflowPunct/>
        <w:topLinePunct w:val="0"/>
        <w:autoSpaceDE/>
        <w:autoSpaceDN/>
        <w:bidi w:val="0"/>
        <w:spacing w:line="560" w:lineRule="exact"/>
        <w:ind w:firstLine="720" w:firstLineChars="22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kinsoku/>
        <w:wordWrap/>
        <w:overflowPunct/>
        <w:topLinePunct w:val="0"/>
        <w:autoSpaceDE/>
        <w:autoSpaceDN/>
        <w:bidi w:val="0"/>
        <w:spacing w:line="560" w:lineRule="exact"/>
        <w:ind w:firstLine="720" w:firstLineChars="22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二、网上挂牌竞买时间为2021年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时至2021年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kinsoku/>
        <w:wordWrap/>
        <w:overflowPunct/>
        <w:topLinePunct w:val="0"/>
        <w:autoSpaceDE/>
        <w:autoSpaceDN/>
        <w:bidi w:val="0"/>
        <w:spacing w:line="560" w:lineRule="exact"/>
        <w:ind w:firstLine="720" w:firstLineChars="22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三、挂牌起始价为人民币3</w:t>
      </w:r>
      <w:r>
        <w:rPr>
          <w:rFonts w:hint="eastAsia" w:ascii="仿宋_GB2312" w:hAnsi="仿宋_GB2312" w:eastAsia="仿宋_GB2312" w:cs="仿宋_GB2312"/>
          <w:sz w:val="32"/>
          <w:szCs w:val="32"/>
          <w:lang w:val="en-US" w:eastAsia="zh-CN"/>
        </w:rPr>
        <w:t>3750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00万元的整数倍。</w:t>
      </w:r>
    </w:p>
    <w:p>
      <w:pPr>
        <w:keepNext w:val="0"/>
        <w:keepLines w:val="0"/>
        <w:pageBreakBefore w:val="0"/>
        <w:kinsoku/>
        <w:wordWrap/>
        <w:overflowPunct/>
        <w:topLinePunct w:val="0"/>
        <w:autoSpaceDE/>
        <w:autoSpaceDN/>
        <w:bidi w:val="0"/>
        <w:spacing w:line="560" w:lineRule="exact"/>
        <w:ind w:firstLine="720" w:firstLineChars="22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五、该宗地竞买保证金可用人民币及外币（暂限于美元、港币）支付。</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六、申请人应具备的其他条件：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szCs w:val="32"/>
          <w:lang w:eastAsia="zh-CN"/>
        </w:rPr>
      </w:pP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lang w:val="en-US" w:eastAsia="zh-CN"/>
        </w:rPr>
        <w:t>一）</w:t>
      </w:r>
      <w:r>
        <w:rPr>
          <w:rFonts w:hint="eastAsia" w:ascii="仿宋_GB2312" w:hAnsi="仿宋_GB2312" w:eastAsia="仿宋_GB2312" w:cs="仿宋_GB2312"/>
          <w:szCs w:val="32"/>
        </w:rPr>
        <w:t>缴交竞买保证金</w:t>
      </w:r>
      <w:r>
        <w:rPr>
          <w:rFonts w:hint="eastAsia" w:ascii="仿宋_GB2312" w:hAnsi="仿宋_GB2312" w:eastAsia="仿宋_GB2312" w:cs="仿宋_GB2312"/>
          <w:color w:val="000000"/>
          <w:szCs w:val="32"/>
          <w:lang w:val="en-US" w:eastAsia="zh-CN"/>
        </w:rPr>
        <w:t>10125</w:t>
      </w:r>
      <w:r>
        <w:rPr>
          <w:rFonts w:hint="eastAsia" w:ascii="仿宋_GB2312" w:hAnsi="仿宋_GB2312" w:eastAsia="仿宋_GB2312" w:cs="仿宋_GB2312"/>
          <w:szCs w:val="32"/>
        </w:rPr>
        <w:t>万元人民币，如以外币缴交竞买保证金的，须缴交</w:t>
      </w:r>
      <w:r>
        <w:rPr>
          <w:rFonts w:hint="eastAsia" w:ascii="仿宋_GB2312" w:hAnsi="仿宋_GB2312" w:eastAsia="仿宋_GB2312" w:cs="仿宋_GB2312"/>
          <w:kern w:val="2"/>
          <w:sz w:val="32"/>
          <w:szCs w:val="32"/>
        </w:rPr>
        <w:t>美元</w:t>
      </w:r>
      <w:r>
        <w:rPr>
          <w:rFonts w:hint="eastAsia" w:ascii="仿宋_GB2312" w:hAnsi="仿宋_GB2312" w:eastAsia="仿宋_GB2312" w:cs="仿宋_GB2312"/>
          <w:kern w:val="2"/>
          <w:sz w:val="32"/>
          <w:szCs w:val="32"/>
          <w:lang w:val="en-US" w:eastAsia="zh-CN"/>
        </w:rPr>
        <w:t>1564</w:t>
      </w:r>
      <w:r>
        <w:rPr>
          <w:rFonts w:hint="eastAsia" w:ascii="仿宋_GB2312" w:hAnsi="仿宋_GB2312" w:eastAsia="仿宋_GB2312" w:cs="仿宋_GB2312"/>
          <w:kern w:val="2"/>
          <w:sz w:val="32"/>
          <w:szCs w:val="32"/>
        </w:rPr>
        <w:t>万元、港币</w:t>
      </w:r>
      <w:r>
        <w:rPr>
          <w:rFonts w:hint="eastAsia" w:ascii="仿宋_GB2312" w:hAnsi="仿宋_GB2312" w:eastAsia="仿宋_GB2312" w:cs="仿宋_GB2312"/>
          <w:kern w:val="2"/>
          <w:sz w:val="32"/>
          <w:szCs w:val="32"/>
          <w:lang w:val="en-US" w:eastAsia="zh-CN"/>
        </w:rPr>
        <w:t>12130</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szCs w:val="32"/>
        </w:rPr>
        <w:t>。</w:t>
      </w:r>
    </w:p>
    <w:p>
      <w:pPr>
        <w:keepNext w:val="0"/>
        <w:keepLines w:val="0"/>
        <w:pageBreakBefore w:val="0"/>
        <w:widowControl/>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（二）存在下列违法违规违约行为之一的企业及其控股股东，不得参与竞买上述地块：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5、至报名日止仍拖欠政府地价款的;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6、被列入问题楼盘开发企业黑名单的;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kern w:val="2"/>
          <w:sz w:val="32"/>
          <w:szCs w:val="22"/>
          <w:lang w:val="en-US" w:eastAsia="zh-CN" w:bidi="ar-SA"/>
        </w:rPr>
        <w:t>7、存在其它被禁止竞买土地行为的。</w:t>
      </w:r>
    </w:p>
    <w:p>
      <w:pPr>
        <w:keepNext w:val="0"/>
        <w:keepLines w:val="0"/>
        <w:pageBreakBefore w:val="0"/>
        <w:kinsoku/>
        <w:wordWrap/>
        <w:overflowPunct/>
        <w:topLinePunct w:val="0"/>
        <w:autoSpaceDE/>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kinsoku/>
        <w:wordWrap/>
        <w:overflowPunct/>
        <w:topLinePunct w:val="0"/>
        <w:autoSpaceDE/>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kinsoku/>
        <w:wordWrap/>
        <w:overflowPunct/>
        <w:topLinePunct w:val="0"/>
        <w:autoSpaceDE/>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kinsoku/>
        <w:wordWrap/>
        <w:overflowPunct/>
        <w:topLinePunct w:val="0"/>
        <w:autoSpaceDE/>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十、申请人应当在网上挂牌出让结束前登陆惠州市公共资源交易中心土地与矿业网上挂牌交易系统并在系统上向惠州市公共资源交易中心提交竞买申请并支付保证金。网上挂牌保证金到账截止时间为2021年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autoSpaceDE/>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网上挂牌系统确定成交后，竞得人缴纳的竞买保证金按成交价的10%转作定金。如竞买保证金不足于缴纳定金，不足部分在交易系统确定成交之日起5个工作日内补齐；如竞买保证金转作定金后有剩余，余额抵作土地成交价预付款。竞得人签订《出让合同》后，定金可抵作土地成交价款，余额转作土地成交价款。</w:t>
      </w:r>
    </w:p>
    <w:p>
      <w:pPr>
        <w:keepNext w:val="0"/>
        <w:keepLines w:val="0"/>
        <w:pageBreakBefore w:val="0"/>
        <w:kinsoku/>
        <w:wordWrap/>
        <w:overflowPunct/>
        <w:topLinePunct w:val="0"/>
        <w:autoSpaceDE/>
        <w:autoSpaceDN/>
        <w:bidi w:val="0"/>
        <w:spacing w:line="560" w:lineRule="exact"/>
        <w:ind w:firstLine="555"/>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_GB2312" w:eastAsia="仿宋_GB2312" w:cs="仿宋_GB2312"/>
          <w:kern w:val="2"/>
          <w:sz w:val="32"/>
          <w:szCs w:val="32"/>
          <w:lang w:val="en-US" w:eastAsia="zh-CN"/>
        </w:rPr>
        <w:t>50000</w:t>
      </w:r>
      <w:r>
        <w:rPr>
          <w:rFonts w:hint="eastAsia" w:ascii="仿宋_GB2312" w:hAnsi="仿宋_GB2312" w:eastAsia="仿宋_GB2312" w:cs="仿宋_GB2312"/>
          <w:sz w:val="32"/>
          <w:szCs w:val="32"/>
        </w:rPr>
        <w:t>万元（含地价,不含地价溢价部分）。</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（二）土地成交价款须以人民币支付,竞得人在签订《出让合同》之日起30日内付清全部成交价款。</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w:t>
      </w:r>
      <w:r>
        <w:rPr>
          <w:rFonts w:hint="eastAsia" w:ascii="仿宋_GB2312" w:hAnsi="仿宋_GB2312" w:eastAsia="仿宋_GB2312" w:cs="仿宋_GB2312"/>
          <w:sz w:val="32"/>
          <w:szCs w:val="32"/>
          <w:lang w:val="en-US" w:eastAsia="zh-CN"/>
        </w:rPr>
        <w:t>属政府储备地</w:t>
      </w:r>
      <w:r>
        <w:rPr>
          <w:rFonts w:hint="eastAsia" w:ascii="仿宋_GB2312" w:hAnsi="仿宋_GB2312" w:eastAsia="仿宋_GB2312" w:cs="仿宋_GB2312"/>
          <w:sz w:val="32"/>
          <w:szCs w:val="32"/>
        </w:rPr>
        <w:t>，没有法律经济纠纷，具备动工开发所必须的基本条件。</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）竞得人在用地红线内开发建设必须符合城市规划要求，必须按《告知书》（案卷编号：PB202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157</w:t>
      </w:r>
      <w:r>
        <w:rPr>
          <w:rFonts w:hint="eastAsia" w:ascii="仿宋_GB2312" w:hAnsi="仿宋_GB2312" w:eastAsia="仿宋_GB2312" w:cs="仿宋_GB2312"/>
          <w:sz w:val="32"/>
          <w:szCs w:val="32"/>
        </w:rPr>
        <w:t>）规划控制指标要求及有关规定进行规划设计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JSH-</w:t>
      </w:r>
      <w:r>
        <w:rPr>
          <w:rFonts w:hint="eastAsia" w:ascii="仿宋_GB2312" w:hAnsi="仿宋_GB2312" w:eastAsia="仿宋_GB2312" w:cs="仿宋_GB2312"/>
          <w:kern w:val="2"/>
          <w:sz w:val="32"/>
          <w:szCs w:val="32"/>
          <w:lang w:val="en-US" w:eastAsia="zh-CN" w:bidi="ar-SA"/>
        </w:rPr>
        <w:t>A04-05-03-01地块内配套幼儿园应与JSH-A04-05-03-01地块同步规划设计、同步建设、同步验收交付使用，如JSH-A04-05-03-01地块分期建设，该幼儿园应纳入首期工程。在办理用地供地手续时，应将整个地块办理出让手续，在出让合同中明确由地块使用权者按照规划要求和惠城区教育局提出的建设标准完成配套幼儿园建设并无偿移交，不动产登记部门在办理分割登记时，将幼儿园办至惠城区教育局名下，土地用途为教育用地，权利性质为划拨。</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kern w:val="2"/>
          <w:sz w:val="32"/>
          <w:szCs w:val="32"/>
          <w:lang w:val="en-US" w:eastAsia="zh-CN"/>
        </w:rPr>
        <w:t>竞得人须按《金山湖JSH-A04-05-03-01地块人才房建设要求》建设150套人才房定向销售给市政府引进的高级人才。</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（六）竞得人有下列行为之一的，视为违约，取消竞得人资格，定金不予退还,并由有关部门依法处理;造成损失的，竞得人还应依法承担赔偿责任：</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十四、该宗地使用网上挂牌方式出让，交易全程适用《惠州市国有建设用地使用权和矿业权电子挂牌交易规则》（惠府〔2014〕167号）。</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十五、联系方式：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联系地址：惠州市</w:t>
      </w:r>
      <w:r>
        <w:rPr>
          <w:rFonts w:hint="eastAsia" w:ascii="仿宋_GB2312" w:hAnsi="仿宋_GB2312" w:eastAsia="仿宋_GB2312" w:cs="仿宋_GB2312"/>
          <w:sz w:val="32"/>
          <w:szCs w:val="32"/>
          <w:lang w:val="en-US" w:eastAsia="zh-CN"/>
        </w:rPr>
        <w:t>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胡先生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2896413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）惠州市公共资源交易中心</w:t>
      </w:r>
    </w:p>
    <w:p>
      <w:pPr>
        <w:tabs>
          <w:tab w:val="left" w:pos="720"/>
          <w:tab w:val="left" w:pos="4680"/>
        </w:tabs>
        <w:ind w:left="4318" w:leftChars="304" w:right="-756" w:rightChars="-360" w:hanging="3680" w:hangingChars="115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rPr>
        <w:t>广东省惠州市</w:t>
      </w:r>
      <w:r>
        <w:rPr>
          <w:rFonts w:hint="eastAsia" w:ascii="仿宋_GB2312" w:hAnsi="仿宋_GB2312" w:eastAsia="仿宋_GB2312" w:cs="仿宋_GB2312"/>
          <w:sz w:val="32"/>
          <w:lang w:val="en-US" w:eastAsia="zh-CN"/>
        </w:rPr>
        <w:t>惠城区三新北路31号市民服</w:t>
      </w:r>
    </w:p>
    <w:p>
      <w:pPr>
        <w:tabs>
          <w:tab w:val="left" w:pos="720"/>
          <w:tab w:val="left" w:pos="4680"/>
        </w:tabs>
        <w:ind w:right="-756" w:rightChars="-360"/>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务中心3号楼</w:t>
      </w:r>
    </w:p>
    <w:p>
      <w:pPr>
        <w:tabs>
          <w:tab w:val="left" w:pos="720"/>
          <w:tab w:val="left" w:pos="4680"/>
        </w:tabs>
        <w:ind w:right="-756" w:rightChars="-36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注：本公告同时在下列网站及场所发布</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中国土地市场网: http://www.landchina.com</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广东省土地市场网：</w:t>
      </w:r>
      <w:r>
        <w:rPr>
          <w:rFonts w:hint="eastAsia" w:ascii="仿宋_GB2312" w:hAnsi="仿宋_GB2312" w:eastAsia="仿宋_GB2312" w:cs="仿宋_GB2312"/>
          <w:sz w:val="32"/>
        </w:rPr>
        <w:fldChar w:fldCharType="begin"/>
      </w:r>
      <w:r>
        <w:rPr>
          <w:rFonts w:hint="eastAsia" w:ascii="仿宋_GB2312" w:hAnsi="仿宋_GB2312" w:eastAsia="仿宋_GB2312" w:cs="仿宋_GB2312"/>
          <w:sz w:val="32"/>
        </w:rPr>
        <w:instrText xml:space="preserve"> HYPERLINK "http://www.landgd.com" </w:instrText>
      </w:r>
      <w:r>
        <w:rPr>
          <w:rFonts w:hint="eastAsia" w:ascii="仿宋_GB2312" w:hAnsi="仿宋_GB2312" w:eastAsia="仿宋_GB2312" w:cs="仿宋_GB2312"/>
          <w:sz w:val="32"/>
        </w:rPr>
        <w:fldChar w:fldCharType="separate"/>
      </w:r>
      <w:r>
        <w:rPr>
          <w:rFonts w:hint="eastAsia" w:ascii="仿宋_GB2312" w:hAnsi="仿宋_GB2312" w:eastAsia="仿宋_GB2312" w:cs="仿宋_GB2312"/>
          <w:sz w:val="32"/>
        </w:rPr>
        <w:t>http://www.landgd.com</w:t>
      </w:r>
      <w:r>
        <w:rPr>
          <w:rFonts w:hint="eastAsia" w:ascii="仿宋_GB2312" w:hAnsi="仿宋_GB2312" w:eastAsia="仿宋_GB2312" w:cs="仿宋_GB2312"/>
          <w:sz w:val="32"/>
        </w:rPr>
        <w:fldChar w:fldCharType="end"/>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惠州市自然资源局网站：http://land.huizhou.gov.cn</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惠州市公共资源交易中心网：</w:t>
      </w:r>
      <w:r>
        <w:rPr>
          <w:rFonts w:hint="eastAsia" w:ascii="仿宋_GB2312" w:hAnsi="仿宋_GB2312" w:eastAsia="仿宋_GB2312" w:cs="仿宋_GB2312"/>
          <w:sz w:val="32"/>
        </w:rPr>
        <w:fldChar w:fldCharType="begin"/>
      </w:r>
      <w:r>
        <w:rPr>
          <w:rFonts w:hint="eastAsia" w:ascii="仿宋_GB2312" w:hAnsi="仿宋_GB2312" w:eastAsia="仿宋_GB2312" w:cs="仿宋_GB2312"/>
          <w:sz w:val="32"/>
        </w:rPr>
        <w:instrText xml:space="preserve"> HYPERLINK "http://zyjy.huizhou.gov.cn" </w:instrText>
      </w:r>
      <w:r>
        <w:rPr>
          <w:rFonts w:hint="eastAsia" w:ascii="仿宋_GB2312" w:hAnsi="仿宋_GB2312" w:eastAsia="仿宋_GB2312" w:cs="仿宋_GB2312"/>
          <w:sz w:val="32"/>
        </w:rPr>
        <w:fldChar w:fldCharType="separate"/>
      </w:r>
      <w:r>
        <w:rPr>
          <w:rFonts w:hint="eastAsia" w:ascii="仿宋_GB2312" w:hAnsi="仿宋_GB2312" w:eastAsia="仿宋_GB2312" w:cs="仿宋_GB2312"/>
          <w:sz w:val="32"/>
        </w:rPr>
        <w:t>http://zyjy.huizhou.gov.cn</w:t>
      </w:r>
      <w:r>
        <w:rPr>
          <w:rFonts w:hint="eastAsia" w:ascii="仿宋_GB2312" w:hAnsi="仿宋_GB2312" w:eastAsia="仿宋_GB2312" w:cs="仿宋_GB2312"/>
          <w:sz w:val="32"/>
        </w:rPr>
        <w:fldChar w:fldCharType="end"/>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惠州市公共资源交易中心交易大厅现场。</w:t>
      </w:r>
    </w:p>
    <w:p>
      <w:pPr>
        <w:keepNext w:val="0"/>
        <w:keepLines w:val="0"/>
        <w:pageBreakBefore w:val="0"/>
        <w:kinsoku/>
        <w:wordWrap/>
        <w:overflowPunct/>
        <w:topLinePunct w:val="0"/>
        <w:autoSpaceDE/>
        <w:autoSpaceDN/>
        <w:bidi w:val="0"/>
        <w:spacing w:line="560" w:lineRule="exact"/>
        <w:ind w:left="638" w:leftChars="304"/>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数字证书办理地址：惠州市江北云山西路二号帝景国际商务中心七层18-22房。</w:t>
      </w:r>
    </w:p>
    <w:p>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联系电话：0752-2898481</w:t>
      </w:r>
    </w:p>
    <w:p>
      <w:pPr>
        <w:keepNext w:val="0"/>
        <w:keepLines w:val="0"/>
        <w:pageBreakBefore w:val="0"/>
        <w:kinsoku/>
        <w:wordWrap/>
        <w:overflowPunct/>
        <w:topLinePunct w:val="0"/>
        <w:autoSpaceDE/>
        <w:autoSpaceDN/>
        <w:bidi w:val="0"/>
        <w:spacing w:line="560" w:lineRule="exact"/>
        <w:ind w:right="640"/>
        <w:textAlignment w:val="auto"/>
        <w:outlineLvl w:val="9"/>
        <w:rPr>
          <w:rFonts w:hint="eastAsia" w:ascii="仿宋_GB2312" w:hAnsi="仿宋_GB2312" w:eastAsia="仿宋_GB2312" w:cs="仿宋_GB2312"/>
          <w:sz w:val="32"/>
          <w:szCs w:val="32"/>
        </w:rPr>
      </w:pPr>
    </w:p>
    <w:p>
      <w:pPr>
        <w:spacing w:line="520" w:lineRule="exact"/>
        <w:ind w:right="640" w:firstLine="5033" w:firstLineChars="1573"/>
        <w:rPr>
          <w:rFonts w:eastAsia="仿宋_GB2312"/>
          <w:sz w:val="32"/>
          <w:szCs w:val="32"/>
        </w:rPr>
      </w:pPr>
      <w:r>
        <w:rPr>
          <w:rFonts w:eastAsia="仿宋_GB2312"/>
          <w:sz w:val="32"/>
          <w:szCs w:val="32"/>
        </w:rPr>
        <w:t>惠州市自然资源局</w:t>
      </w:r>
    </w:p>
    <w:p>
      <w:pPr>
        <w:spacing w:line="520" w:lineRule="exact"/>
        <w:ind w:right="640" w:firstLine="4640" w:firstLineChars="1450"/>
        <w:rPr>
          <w:rFonts w:eastAsia="仿宋_GB2312"/>
          <w:sz w:val="32"/>
          <w:szCs w:val="32"/>
        </w:rPr>
      </w:pPr>
      <w:r>
        <w:rPr>
          <w:rFonts w:eastAsia="仿宋_GB2312"/>
          <w:sz w:val="32"/>
          <w:szCs w:val="32"/>
        </w:rPr>
        <w:t>惠州市公共资源交易中心</w:t>
      </w:r>
    </w:p>
    <w:p>
      <w:pPr>
        <w:pStyle w:val="2"/>
        <w:ind w:firstLine="5120" w:firstLineChars="1600"/>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2021年4月14日</w:t>
      </w:r>
    </w:p>
    <w:p>
      <w:pPr>
        <w:spacing w:line="360" w:lineRule="auto"/>
        <w:rPr>
          <w:rFonts w:hint="eastAsia" w:ascii="仿宋_GB2312" w:hAnsi="仿宋_GB2312" w:eastAsia="仿宋_GB2312" w:cs="仿宋_GB2312"/>
          <w:sz w:val="32"/>
          <w:szCs w:val="32"/>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pPr w:leftFromText="180" w:rightFromText="180" w:vertAnchor="text" w:tblpXSpec="center" w:tblpY="1"/>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08"/>
        <w:gridCol w:w="668"/>
        <w:gridCol w:w="473"/>
        <w:gridCol w:w="1004"/>
        <w:gridCol w:w="900"/>
        <w:gridCol w:w="877"/>
        <w:gridCol w:w="645"/>
        <w:gridCol w:w="1088"/>
        <w:gridCol w:w="945"/>
        <w:gridCol w:w="986"/>
        <w:gridCol w:w="74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02"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08"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68"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473"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186" w:type="dxa"/>
            <w:gridSpan w:val="8"/>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7" w:type="dxa"/>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702" w:type="dxa"/>
            <w:vMerge w:val="continue"/>
            <w:vAlign w:val="center"/>
          </w:tcPr>
          <w:p>
            <w:pPr>
              <w:adjustRightInd w:val="0"/>
              <w:snapToGrid w:val="0"/>
              <w:spacing w:line="320" w:lineRule="exact"/>
              <w:jc w:val="center"/>
              <w:rPr>
                <w:rFonts w:hint="eastAsia" w:ascii="仿宋_GB2312" w:eastAsia="仿宋_GB2312"/>
                <w:b/>
                <w:bCs/>
              </w:rPr>
            </w:pPr>
          </w:p>
        </w:tc>
        <w:tc>
          <w:tcPr>
            <w:tcW w:w="608" w:type="dxa"/>
            <w:vMerge w:val="continue"/>
            <w:vAlign w:val="center"/>
          </w:tcPr>
          <w:p>
            <w:pPr>
              <w:adjustRightInd w:val="0"/>
              <w:snapToGrid w:val="0"/>
              <w:spacing w:line="320" w:lineRule="exact"/>
              <w:jc w:val="center"/>
              <w:rPr>
                <w:rFonts w:hint="eastAsia" w:ascii="仿宋_GB2312" w:eastAsia="仿宋_GB2312"/>
                <w:b/>
                <w:bCs/>
              </w:rPr>
            </w:pPr>
          </w:p>
        </w:tc>
        <w:tc>
          <w:tcPr>
            <w:tcW w:w="668" w:type="dxa"/>
            <w:vMerge w:val="continue"/>
            <w:vAlign w:val="center"/>
          </w:tcPr>
          <w:p>
            <w:pPr>
              <w:adjustRightInd w:val="0"/>
              <w:snapToGrid w:val="0"/>
              <w:spacing w:line="320" w:lineRule="exact"/>
              <w:jc w:val="center"/>
              <w:rPr>
                <w:rFonts w:hint="eastAsia" w:ascii="仿宋_GB2312" w:eastAsia="仿宋_GB2312"/>
                <w:b/>
                <w:bCs/>
              </w:rPr>
            </w:pPr>
          </w:p>
        </w:tc>
        <w:tc>
          <w:tcPr>
            <w:tcW w:w="473" w:type="dxa"/>
            <w:vMerge w:val="continue"/>
            <w:vAlign w:val="center"/>
          </w:tcPr>
          <w:p>
            <w:pPr>
              <w:adjustRightInd w:val="0"/>
              <w:snapToGrid w:val="0"/>
              <w:spacing w:line="320" w:lineRule="exact"/>
              <w:jc w:val="center"/>
              <w:rPr>
                <w:rFonts w:hint="eastAsia" w:ascii="仿宋_GB2312" w:eastAsia="仿宋_GB2312"/>
                <w:b/>
                <w:bCs/>
              </w:rPr>
            </w:pPr>
          </w:p>
        </w:tc>
        <w:tc>
          <w:tcPr>
            <w:tcW w:w="1004"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p>
        </w:tc>
        <w:tc>
          <w:tcPr>
            <w:tcW w:w="900" w:type="dxa"/>
            <w:vAlign w:val="center"/>
          </w:tcPr>
          <w:p>
            <w:pPr>
              <w:autoSpaceDE w:val="0"/>
              <w:autoSpaceDN w:val="0"/>
              <w:adjustRightInd w:val="0"/>
              <w:spacing w:line="240" w:lineRule="exact"/>
              <w:jc w:val="center"/>
              <w:rPr>
                <w:rFonts w:hint="eastAsia" w:ascii="仿宋_GB2312"/>
                <w:b/>
                <w:bCs/>
                <w:szCs w:val="21"/>
              </w:rPr>
            </w:pPr>
            <w:r>
              <w:rPr>
                <w:rFonts w:hint="eastAsia" w:ascii="仿宋_GB2312" w:eastAsia="仿宋_GB2312"/>
                <w:b/>
                <w:bCs/>
                <w:szCs w:val="21"/>
              </w:rPr>
              <w:t>宗地使用权面积</w:t>
            </w:r>
          </w:p>
        </w:tc>
        <w:tc>
          <w:tcPr>
            <w:tcW w:w="877" w:type="dxa"/>
            <w:vAlign w:val="center"/>
          </w:tcPr>
          <w:p>
            <w:pPr>
              <w:autoSpaceDE w:val="0"/>
              <w:autoSpaceDN w:val="0"/>
              <w:adjustRightInd w:val="0"/>
              <w:spacing w:line="240" w:lineRule="exact"/>
              <w:jc w:val="center"/>
              <w:rPr>
                <w:rFonts w:hint="default" w:ascii="仿宋_GB2312" w:eastAsia="仿宋_GB2312"/>
                <w:b/>
                <w:bCs/>
                <w:szCs w:val="21"/>
                <w:lang w:val="en-US" w:eastAsia="zh-CN"/>
              </w:rPr>
            </w:pPr>
            <w:r>
              <w:rPr>
                <w:rFonts w:hint="eastAsia" w:ascii="仿宋_GB2312" w:eastAsia="仿宋_GB2312"/>
                <w:b/>
                <w:bCs/>
                <w:szCs w:val="21"/>
                <w:lang w:val="en-US" w:eastAsia="zh-CN"/>
              </w:rPr>
              <w:t>建筑密度（</w:t>
            </w:r>
            <w:r>
              <w:rPr>
                <w:rFonts w:hint="default" w:ascii="Times New Roman" w:hAnsi="Times New Roman" w:eastAsia="仿宋_GB2312" w:cs="Times New Roman"/>
                <w:color w:val="000000"/>
                <w:szCs w:val="21"/>
                <w:lang w:val="en-US" w:eastAsia="zh-CN"/>
              </w:rPr>
              <w:t>%</w:t>
            </w:r>
            <w:r>
              <w:rPr>
                <w:rFonts w:hint="eastAsia" w:eastAsia="仿宋_GB2312" w:cs="Times New Roman"/>
                <w:color w:val="000000"/>
                <w:szCs w:val="21"/>
                <w:lang w:val="en-US" w:eastAsia="zh-CN"/>
              </w:rPr>
              <w:t>）</w:t>
            </w:r>
          </w:p>
        </w:tc>
        <w:tc>
          <w:tcPr>
            <w:tcW w:w="645" w:type="dxa"/>
            <w:vAlign w:val="center"/>
          </w:tcPr>
          <w:p>
            <w:pPr>
              <w:autoSpaceDE w:val="0"/>
              <w:autoSpaceDN w:val="0"/>
              <w:adjustRightInd w:val="0"/>
              <w:spacing w:line="240" w:lineRule="exact"/>
              <w:jc w:val="center"/>
              <w:rPr>
                <w:rFonts w:hint="default" w:ascii="仿宋_GB2312" w:eastAsia="仿宋_GB2312"/>
                <w:b/>
                <w:bCs/>
                <w:szCs w:val="21"/>
                <w:lang w:val="en-US" w:eastAsia="zh-CN"/>
              </w:rPr>
            </w:pPr>
            <w:r>
              <w:rPr>
                <w:rFonts w:hint="eastAsia" w:ascii="仿宋_GB2312" w:eastAsia="仿宋_GB2312"/>
                <w:b/>
                <w:bCs/>
                <w:szCs w:val="21"/>
                <w:lang w:val="en-US" w:eastAsia="zh-CN"/>
              </w:rPr>
              <w:t>容积率</w:t>
            </w:r>
          </w:p>
        </w:tc>
        <w:tc>
          <w:tcPr>
            <w:tcW w:w="1088"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p>
        </w:tc>
        <w:tc>
          <w:tcPr>
            <w:tcW w:w="945"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lang w:eastAsia="zh-CN"/>
              </w:rPr>
              <w:t>绿地率（</w:t>
            </w:r>
            <w:r>
              <w:rPr>
                <w:rFonts w:hint="default" w:ascii="Times New Roman" w:hAnsi="Times New Roman" w:eastAsia="仿宋_GB2312" w:cs="Times New Roman"/>
                <w:color w:val="000000"/>
                <w:szCs w:val="21"/>
                <w:lang w:eastAsia="zh-CN"/>
              </w:rPr>
              <w:t>%</w:t>
            </w:r>
            <w:r>
              <w:rPr>
                <w:rFonts w:hint="eastAsia" w:eastAsia="仿宋_GB2312" w:cs="Times New Roman"/>
                <w:color w:val="000000"/>
                <w:szCs w:val="21"/>
                <w:lang w:eastAsia="zh-CN"/>
              </w:rPr>
              <w:t>）</w:t>
            </w:r>
          </w:p>
        </w:tc>
        <w:tc>
          <w:tcPr>
            <w:tcW w:w="986" w:type="dxa"/>
            <w:vAlign w:val="center"/>
          </w:tcPr>
          <w:p>
            <w:pPr>
              <w:autoSpaceDE w:val="0"/>
              <w:autoSpaceDN w:val="0"/>
              <w:adjustRightInd w:val="0"/>
              <w:spacing w:line="240" w:lineRule="exact"/>
              <w:jc w:val="center"/>
              <w:rPr>
                <w:rFonts w:hint="eastAsia" w:ascii="宋体" w:hAnsi="宋体" w:eastAsia="宋体" w:cs="宋体"/>
                <w:b/>
                <w:bCs/>
                <w:szCs w:val="21"/>
                <w:lang w:eastAsia="zh-CN"/>
              </w:rPr>
            </w:pPr>
            <w:r>
              <w:rPr>
                <w:rFonts w:hint="eastAsia" w:eastAsia="仿宋_GB2312" w:cs="Times New Roman"/>
                <w:b/>
                <w:szCs w:val="21"/>
                <w:lang w:eastAsia="zh-CN"/>
              </w:rPr>
              <w:t>机动车停车位（个）</w:t>
            </w:r>
          </w:p>
        </w:tc>
        <w:tc>
          <w:tcPr>
            <w:tcW w:w="741"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szCs w:val="21"/>
              </w:rPr>
              <w:t>适建性</w:t>
            </w:r>
          </w:p>
        </w:tc>
        <w:tc>
          <w:tcPr>
            <w:tcW w:w="677" w:type="dxa"/>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702" w:type="dxa"/>
            <w:tcMar>
              <w:left w:w="0" w:type="dxa"/>
              <w:right w:w="0" w:type="dxa"/>
            </w:tcMar>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GP2021</w:t>
            </w:r>
          </w:p>
          <w:p>
            <w:pPr>
              <w:spacing w:line="300" w:lineRule="exact"/>
              <w:jc w:val="center"/>
              <w:rPr>
                <w:rFonts w:hint="default" w:ascii="Times New Roman" w:hAnsi="Times New Roman" w:eastAsia="仿宋_GB2312" w:cs="Times New Roman"/>
                <w:color w:val="000000"/>
                <w:szCs w:val="21"/>
                <w:lang w:val="en-US" w:eastAsia="zh-CN"/>
              </w:rPr>
            </w:pPr>
            <w:r>
              <w:rPr>
                <w:rFonts w:hint="eastAsia" w:ascii="仿宋_GB2312" w:hAnsi="仿宋_GB2312" w:eastAsia="仿宋_GB2312" w:cs="仿宋_GB2312"/>
                <w:color w:val="000000"/>
                <w:szCs w:val="21"/>
                <w:lang w:val="en-US" w:eastAsia="zh-CN"/>
              </w:rPr>
              <w:t>-12</w:t>
            </w:r>
            <w:bookmarkStart w:id="0" w:name="_GoBack"/>
            <w:bookmarkEnd w:id="0"/>
          </w:p>
        </w:tc>
        <w:tc>
          <w:tcPr>
            <w:tcW w:w="608"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惠州市</w:t>
            </w:r>
            <w:r>
              <w:rPr>
                <w:rFonts w:hint="default" w:ascii="Times New Roman" w:hAnsi="Times New Roman" w:eastAsia="仿宋_GB2312" w:cs="Times New Roman"/>
                <w:color w:val="000000"/>
                <w:szCs w:val="21"/>
                <w:lang w:val="en-US" w:eastAsia="zh-CN"/>
              </w:rPr>
              <w:t>金山湖片区</w:t>
            </w:r>
            <w:r>
              <w:rPr>
                <w:rFonts w:hint="eastAsia" w:ascii="仿宋_GB2312" w:hAnsi="仿宋_GB2312" w:eastAsia="仿宋_GB2312" w:cs="仿宋_GB2312"/>
                <w:color w:val="000000"/>
                <w:szCs w:val="21"/>
                <w:lang w:val="en-US" w:eastAsia="zh-CN"/>
              </w:rPr>
              <w:t>JSH-A04-05-03-01</w:t>
            </w:r>
            <w:r>
              <w:rPr>
                <w:rFonts w:hint="eastAsia" w:ascii="Times New Roman" w:hAnsi="Times New Roman" w:eastAsia="仿宋_GB2312" w:cs="Times New Roman"/>
                <w:color w:val="000000"/>
                <w:szCs w:val="21"/>
                <w:lang w:val="en-US" w:eastAsia="zh-CN"/>
              </w:rPr>
              <w:t>地块</w:t>
            </w:r>
          </w:p>
        </w:tc>
        <w:tc>
          <w:tcPr>
            <w:tcW w:w="668"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eastAsia" w:ascii="仿宋_GB2312" w:hAnsi="仿宋_GB2312" w:eastAsia="仿宋_GB2312" w:cs="仿宋_GB2312"/>
                <w:color w:val="000000"/>
                <w:szCs w:val="21"/>
                <w:lang w:val="en-US" w:eastAsia="zh-CN"/>
              </w:rPr>
              <w:t>JSH-A04-05-03-01</w:t>
            </w:r>
          </w:p>
        </w:tc>
        <w:tc>
          <w:tcPr>
            <w:tcW w:w="473" w:type="dxa"/>
            <w:tcMar>
              <w:left w:w="0" w:type="dxa"/>
              <w:right w:w="0" w:type="dxa"/>
            </w:tcMar>
            <w:vAlign w:val="center"/>
          </w:tcPr>
          <w:p>
            <w:pPr>
              <w:spacing w:line="300" w:lineRule="exact"/>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住宅及商</w:t>
            </w:r>
            <w:r>
              <w:rPr>
                <w:rFonts w:hint="eastAsia" w:eastAsia="仿宋_GB2312" w:cs="Times New Roman"/>
                <w:color w:val="000000"/>
                <w:szCs w:val="21"/>
                <w:lang w:val="en-US" w:eastAsia="zh-CN"/>
              </w:rPr>
              <w:t>服</w:t>
            </w:r>
            <w:r>
              <w:rPr>
                <w:rFonts w:hint="default" w:ascii="Times New Roman" w:hAnsi="Times New Roman" w:eastAsia="仿宋_GB2312" w:cs="Times New Roman"/>
                <w:color w:val="000000"/>
                <w:szCs w:val="21"/>
                <w:lang w:eastAsia="zh-CN"/>
              </w:rPr>
              <w:t>用地</w:t>
            </w:r>
          </w:p>
        </w:tc>
        <w:tc>
          <w:tcPr>
            <w:tcW w:w="1004"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eastAsia" w:ascii="仿宋_GB2312" w:hAnsi="仿宋_GB2312" w:eastAsia="仿宋_GB2312" w:cs="仿宋_GB2312"/>
                <w:color w:val="000000"/>
                <w:szCs w:val="21"/>
                <w:lang w:val="en-US" w:eastAsia="zh-CN"/>
              </w:rPr>
              <w:t>17556.84㎡</w:t>
            </w:r>
          </w:p>
        </w:tc>
        <w:tc>
          <w:tcPr>
            <w:tcW w:w="900" w:type="dxa"/>
            <w:vAlign w:val="center"/>
          </w:tcPr>
          <w:p>
            <w:pPr>
              <w:spacing w:line="300" w:lineRule="exact"/>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14788.05㎡</w:t>
            </w:r>
          </w:p>
          <w:p>
            <w:pPr>
              <w:spacing w:line="300" w:lineRule="exact"/>
              <w:jc w:val="center"/>
              <w:rPr>
                <w:rFonts w:hint="default" w:ascii="Times New Roman" w:hAnsi="Times New Roman" w:eastAsia="仿宋_GB2312" w:cs="Times New Roman"/>
                <w:color w:val="000000"/>
                <w:szCs w:val="21"/>
                <w:lang w:val="en-US" w:eastAsia="zh-CN"/>
              </w:rPr>
            </w:pPr>
          </w:p>
        </w:tc>
        <w:tc>
          <w:tcPr>
            <w:tcW w:w="877"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eastAsia" w:ascii="仿宋_GB2312" w:hAnsi="仿宋_GB2312" w:eastAsia="仿宋_GB2312" w:cs="仿宋_GB2312"/>
                <w:color w:val="000000"/>
                <w:szCs w:val="21"/>
                <w:lang w:val="en-US" w:eastAsia="zh-CN"/>
              </w:rPr>
              <w:t>≤30（</w:t>
            </w:r>
            <w:r>
              <w:rPr>
                <w:rFonts w:hint="default" w:ascii="Times New Roman" w:hAnsi="Times New Roman" w:eastAsia="仿宋_GB2312" w:cs="Times New Roman"/>
                <w:color w:val="000000"/>
                <w:szCs w:val="21"/>
                <w:lang w:val="en-US" w:eastAsia="zh-CN"/>
              </w:rPr>
              <w:t>其中住宅建筑净密度</w:t>
            </w:r>
            <w:r>
              <w:rPr>
                <w:rFonts w:hint="eastAsia" w:ascii="仿宋_GB2312" w:hAnsi="仿宋_GB2312" w:eastAsia="仿宋_GB2312" w:cs="仿宋_GB2312"/>
                <w:color w:val="000000"/>
                <w:szCs w:val="21"/>
                <w:lang w:val="en-US" w:eastAsia="zh-CN"/>
              </w:rPr>
              <w:t>≤22）</w:t>
            </w:r>
          </w:p>
        </w:tc>
        <w:tc>
          <w:tcPr>
            <w:tcW w:w="645" w:type="dxa"/>
            <w:vAlign w:val="center"/>
          </w:tcPr>
          <w:p>
            <w:pPr>
              <w:spacing w:line="300" w:lineRule="exact"/>
              <w:jc w:val="center"/>
              <w:rPr>
                <w:rFonts w:hint="default" w:ascii="Times New Roman" w:hAnsi="Times New Roman" w:eastAsia="仿宋_GB2312" w:cs="Times New Roman"/>
                <w:color w:val="000000"/>
                <w:szCs w:val="21"/>
                <w:lang w:val="en-US" w:eastAsia="zh-CN"/>
              </w:rPr>
            </w:pPr>
            <w:r>
              <w:rPr>
                <w:rFonts w:hint="eastAsia" w:ascii="仿宋_GB2312" w:hAnsi="仿宋_GB2312" w:eastAsia="仿宋_GB2312" w:cs="仿宋_GB2312"/>
                <w:color w:val="000000"/>
                <w:szCs w:val="21"/>
                <w:lang w:val="en-US" w:eastAsia="zh-CN"/>
              </w:rPr>
              <w:t>≤3.0</w:t>
            </w:r>
          </w:p>
        </w:tc>
        <w:tc>
          <w:tcPr>
            <w:tcW w:w="1088"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52671</w:t>
            </w:r>
            <w:r>
              <w:rPr>
                <w:rFonts w:hint="default" w:ascii="Times New Roman" w:hAnsi="Times New Roman" w:eastAsia="仿宋_GB2312" w:cs="Times New Roman"/>
                <w:color w:val="000000"/>
                <w:szCs w:val="21"/>
                <w:lang w:eastAsia="zh-CN"/>
              </w:rPr>
              <w:t>㎡（其中商业</w:t>
            </w:r>
            <w:r>
              <w:rPr>
                <w:rFonts w:hint="eastAsia" w:eastAsia="仿宋_GB2312" w:cs="Times New Roman"/>
                <w:color w:val="000000"/>
                <w:szCs w:val="21"/>
                <w:lang w:eastAsia="zh-CN"/>
              </w:rPr>
              <w:t>、</w:t>
            </w:r>
            <w:r>
              <w:rPr>
                <w:rFonts w:hint="default" w:ascii="Times New Roman" w:hAnsi="Times New Roman" w:eastAsia="仿宋_GB2312" w:cs="Times New Roman"/>
                <w:color w:val="000000"/>
                <w:szCs w:val="21"/>
                <w:lang w:eastAsia="zh-CN"/>
              </w:rPr>
              <w:t>商</w:t>
            </w:r>
            <w:r>
              <w:rPr>
                <w:rFonts w:hint="eastAsia" w:ascii="Times New Roman" w:hAnsi="Times New Roman" w:eastAsia="仿宋_GB2312" w:cs="Times New Roman"/>
                <w:color w:val="000000"/>
                <w:szCs w:val="21"/>
                <w:lang w:eastAsia="zh-CN"/>
              </w:rPr>
              <w:t>务</w:t>
            </w:r>
            <w:r>
              <w:rPr>
                <w:rFonts w:hint="eastAsia" w:ascii="Times New Roman" w:hAnsi="Times New Roman" w:eastAsia="仿宋_GB2312" w:cs="Times New Roman"/>
                <w:color w:val="000000"/>
                <w:szCs w:val="21"/>
                <w:lang w:val="en-US" w:eastAsia="zh-CN"/>
              </w:rPr>
              <w:t>金融</w:t>
            </w:r>
            <w:r>
              <w:rPr>
                <w:rFonts w:hint="default" w:ascii="Times New Roman" w:hAnsi="Times New Roman" w:eastAsia="仿宋_GB2312" w:cs="Times New Roman"/>
                <w:color w:val="000000"/>
                <w:szCs w:val="21"/>
                <w:lang w:eastAsia="zh-CN"/>
              </w:rPr>
              <w:t>建筑面积的比例</w:t>
            </w:r>
            <w:r>
              <w:rPr>
                <w:rFonts w:hint="eastAsia" w:ascii="仿宋_GB2312" w:hAnsi="仿宋_GB2312" w:eastAsia="仿宋_GB2312" w:cs="仿宋_GB2312"/>
                <w:color w:val="000000"/>
                <w:szCs w:val="21"/>
                <w:lang w:eastAsia="zh-CN"/>
              </w:rPr>
              <w:t>≤10%，</w:t>
            </w:r>
            <w:r>
              <w:rPr>
                <w:rFonts w:hint="default" w:ascii="Times New Roman" w:hAnsi="Times New Roman" w:eastAsia="仿宋_GB2312" w:cs="Times New Roman"/>
                <w:color w:val="000000"/>
                <w:szCs w:val="21"/>
                <w:lang w:eastAsia="zh-CN"/>
              </w:rPr>
              <w:t>配套</w:t>
            </w:r>
            <w:r>
              <w:rPr>
                <w:rFonts w:hint="default" w:ascii="Times New Roman" w:hAnsi="Times New Roman" w:eastAsia="仿宋_GB2312" w:cs="Times New Roman"/>
                <w:color w:val="000000"/>
                <w:szCs w:val="21"/>
                <w:lang w:val="en-US" w:eastAsia="zh-CN"/>
              </w:rPr>
              <w:t>幼儿园建筑面积</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4500</w:t>
            </w:r>
            <w:r>
              <w:rPr>
                <w:rFonts w:hint="default" w:ascii="Times New Roman" w:hAnsi="Times New Roman" w:eastAsia="仿宋_GB2312" w:cs="Times New Roman"/>
                <w:color w:val="000000"/>
                <w:szCs w:val="21"/>
                <w:lang w:eastAsia="zh-CN"/>
              </w:rPr>
              <w:t>㎡，</w:t>
            </w:r>
            <w:r>
              <w:rPr>
                <w:rFonts w:hint="default" w:ascii="Times New Roman" w:hAnsi="Times New Roman" w:eastAsia="仿宋_GB2312" w:cs="Times New Roman"/>
                <w:color w:val="000000"/>
                <w:szCs w:val="21"/>
                <w:lang w:val="en-US" w:eastAsia="zh-CN"/>
              </w:rPr>
              <w:t>配套养老服务</w:t>
            </w:r>
            <w:r>
              <w:rPr>
                <w:rFonts w:hint="default" w:ascii="Times New Roman" w:hAnsi="Times New Roman" w:eastAsia="仿宋_GB2312" w:cs="Times New Roman"/>
                <w:color w:val="000000"/>
                <w:szCs w:val="21"/>
                <w:lang w:eastAsia="zh-CN"/>
              </w:rPr>
              <w:t>设施建筑面积</w:t>
            </w:r>
            <w:r>
              <w:rPr>
                <w:rFonts w:hint="eastAsia" w:ascii="仿宋_GB2312" w:hAnsi="仿宋_GB2312" w:eastAsia="仿宋_GB2312" w:cs="仿宋_GB2312"/>
                <w:color w:val="000000"/>
                <w:szCs w:val="21"/>
                <w:lang w:eastAsia="zh-CN"/>
              </w:rPr>
              <w:t>≥</w:t>
            </w:r>
            <w:r>
              <w:rPr>
                <w:rFonts w:hint="eastAsia" w:ascii="仿宋_GB2312" w:hAnsi="仿宋_GB2312" w:eastAsia="仿宋_GB2312" w:cs="仿宋_GB2312"/>
                <w:color w:val="000000"/>
                <w:szCs w:val="21"/>
                <w:lang w:val="en-US" w:eastAsia="zh-CN"/>
              </w:rPr>
              <w:t>100</w:t>
            </w:r>
            <w:r>
              <w:rPr>
                <w:rFonts w:hint="eastAsia" w:ascii="仿宋_GB2312" w:hAnsi="仿宋_GB2312" w:eastAsia="仿宋_GB2312" w:cs="仿宋_GB2312"/>
                <w:color w:val="000000"/>
                <w:szCs w:val="21"/>
                <w:lang w:eastAsia="zh-CN"/>
              </w:rPr>
              <w:t>㎡）</w:t>
            </w:r>
          </w:p>
        </w:tc>
        <w:tc>
          <w:tcPr>
            <w:tcW w:w="945"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eastAsia" w:ascii="仿宋_GB2312" w:hAnsi="仿宋_GB2312" w:eastAsia="仿宋_GB2312" w:cs="仿宋_GB2312"/>
                <w:color w:val="000000"/>
                <w:szCs w:val="21"/>
                <w:lang w:eastAsia="zh-CN"/>
              </w:rPr>
              <w:t>≥35</w:t>
            </w:r>
          </w:p>
        </w:tc>
        <w:tc>
          <w:tcPr>
            <w:tcW w:w="986"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住宅和商业、商</w:t>
            </w:r>
            <w:r>
              <w:rPr>
                <w:rFonts w:hint="eastAsia" w:ascii="Times New Roman" w:hAnsi="Times New Roman" w:eastAsia="仿宋_GB2312" w:cs="Times New Roman"/>
                <w:color w:val="000000"/>
                <w:szCs w:val="21"/>
                <w:lang w:eastAsia="zh-CN"/>
              </w:rPr>
              <w:t>务</w:t>
            </w:r>
            <w:r>
              <w:rPr>
                <w:rFonts w:hint="eastAsia" w:ascii="Times New Roman" w:hAnsi="Times New Roman" w:eastAsia="仿宋_GB2312" w:cs="Times New Roman"/>
                <w:color w:val="000000"/>
                <w:szCs w:val="21"/>
                <w:lang w:val="en-US" w:eastAsia="zh-CN"/>
              </w:rPr>
              <w:t>金融</w:t>
            </w:r>
            <w:r>
              <w:rPr>
                <w:rFonts w:hint="eastAsia" w:ascii="Times New Roman" w:hAnsi="Times New Roman" w:eastAsia="仿宋_GB2312" w:cs="Times New Roman"/>
                <w:color w:val="000000"/>
                <w:szCs w:val="21"/>
                <w:lang w:eastAsia="zh-CN"/>
              </w:rPr>
              <w:t>每100㎡</w:t>
            </w:r>
            <w:r>
              <w:rPr>
                <w:rFonts w:hint="default" w:ascii="Times New Roman" w:hAnsi="Times New Roman" w:eastAsia="仿宋_GB2312" w:cs="Times New Roman"/>
                <w:color w:val="000000"/>
                <w:szCs w:val="21"/>
                <w:lang w:eastAsia="zh-CN"/>
              </w:rPr>
              <w:t>计容积率建筑面积</w:t>
            </w:r>
            <w:r>
              <w:rPr>
                <w:rFonts w:hint="eastAsia" w:ascii="Times New Roman" w:hAnsi="Times New Roman" w:eastAsia="仿宋_GB2312" w:cs="Times New Roman"/>
                <w:color w:val="000000"/>
                <w:szCs w:val="21"/>
                <w:lang w:eastAsia="zh-CN"/>
              </w:rPr>
              <w:t>≥1</w:t>
            </w:r>
            <w:r>
              <w:rPr>
                <w:rFonts w:hint="default" w:ascii="Times New Roman" w:hAnsi="Times New Roman" w:eastAsia="仿宋_GB2312" w:cs="Times New Roman"/>
                <w:color w:val="000000"/>
                <w:szCs w:val="21"/>
                <w:lang w:eastAsia="zh-CN"/>
              </w:rPr>
              <w:t>个；幼儿园</w:t>
            </w:r>
            <w:r>
              <w:rPr>
                <w:rFonts w:hint="eastAsia" w:ascii="Times New Roman" w:hAnsi="Times New Roman" w:eastAsia="仿宋_GB2312" w:cs="Times New Roman"/>
                <w:color w:val="000000"/>
                <w:szCs w:val="21"/>
                <w:lang w:eastAsia="zh-CN"/>
              </w:rPr>
              <w:t>每100㎡</w:t>
            </w:r>
            <w:r>
              <w:rPr>
                <w:rFonts w:hint="default" w:ascii="Times New Roman" w:hAnsi="Times New Roman" w:eastAsia="仿宋_GB2312" w:cs="Times New Roman"/>
                <w:color w:val="000000"/>
                <w:szCs w:val="21"/>
                <w:lang w:eastAsia="zh-CN"/>
              </w:rPr>
              <w:t>计容</w:t>
            </w:r>
            <w:r>
              <w:rPr>
                <w:rFonts w:hint="eastAsia" w:ascii="Times New Roman" w:hAnsi="Times New Roman" w:eastAsia="仿宋_GB2312" w:cs="Times New Roman"/>
                <w:color w:val="000000"/>
                <w:szCs w:val="21"/>
                <w:lang w:val="en-US" w:eastAsia="zh-CN"/>
              </w:rPr>
              <w:t>积率</w:t>
            </w:r>
            <w:r>
              <w:rPr>
                <w:rFonts w:hint="default" w:ascii="Times New Roman" w:hAnsi="Times New Roman" w:eastAsia="仿宋_GB2312" w:cs="Times New Roman"/>
                <w:color w:val="000000"/>
                <w:szCs w:val="21"/>
                <w:lang w:eastAsia="zh-CN"/>
              </w:rPr>
              <w:t>建筑面积</w:t>
            </w:r>
            <w:r>
              <w:rPr>
                <w:rFonts w:hint="eastAsia" w:ascii="Times New Roman" w:hAnsi="Times New Roman" w:eastAsia="仿宋_GB2312" w:cs="Times New Roman"/>
                <w:color w:val="000000"/>
                <w:szCs w:val="21"/>
                <w:lang w:eastAsia="zh-CN"/>
              </w:rPr>
              <w:t>≥</w:t>
            </w:r>
            <w:r>
              <w:rPr>
                <w:rFonts w:hint="eastAsia" w:ascii="Times New Roman" w:hAnsi="Times New Roman" w:eastAsia="仿宋_GB2312" w:cs="Times New Roman"/>
                <w:color w:val="000000"/>
                <w:szCs w:val="21"/>
                <w:lang w:val="en-US" w:eastAsia="zh-CN"/>
              </w:rPr>
              <w:t>0.3</w:t>
            </w:r>
            <w:r>
              <w:rPr>
                <w:rFonts w:hint="default" w:ascii="Times New Roman" w:hAnsi="Times New Roman" w:eastAsia="仿宋_GB2312" w:cs="Times New Roman"/>
                <w:color w:val="000000"/>
                <w:szCs w:val="21"/>
                <w:lang w:eastAsia="zh-CN"/>
              </w:rPr>
              <w:t>个</w:t>
            </w:r>
          </w:p>
        </w:tc>
        <w:tc>
          <w:tcPr>
            <w:tcW w:w="741"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住宅、幼儿园、商业、商务金融及配套设施</w:t>
            </w:r>
          </w:p>
        </w:tc>
        <w:tc>
          <w:tcPr>
            <w:tcW w:w="677" w:type="dxa"/>
            <w:vAlign w:val="center"/>
          </w:tcPr>
          <w:p>
            <w:pPr>
              <w:spacing w:line="300" w:lineRule="exact"/>
              <w:jc w:val="center"/>
              <w:rPr>
                <w:rFonts w:hint="default" w:ascii="Times New Roman" w:hAnsi="Times New Roman" w:eastAsia="仿宋_GB2312" w:cs="Times New Roman"/>
                <w:color w:val="000000"/>
                <w:szCs w:val="21"/>
                <w:lang w:eastAsia="zh-CN"/>
              </w:rPr>
            </w:pPr>
            <w:r>
              <w:rPr>
                <w:rFonts w:hint="default" w:ascii="Times New Roman" w:hAnsi="Times New Roman" w:eastAsia="仿宋_GB2312" w:cs="Times New Roman"/>
                <w:color w:val="000000"/>
                <w:szCs w:val="21"/>
                <w:lang w:eastAsia="zh-CN"/>
              </w:rPr>
              <w:t>城镇住宅用地</w:t>
            </w:r>
            <w:r>
              <w:rPr>
                <w:rFonts w:hint="eastAsia" w:ascii="仿宋_GB2312" w:hAnsi="仿宋_GB2312" w:eastAsia="仿宋_GB2312" w:cs="仿宋_GB2312"/>
                <w:color w:val="000000"/>
                <w:szCs w:val="21"/>
                <w:lang w:val="en-US" w:eastAsia="zh-CN"/>
              </w:rPr>
              <w:t>7</w:t>
            </w:r>
            <w:r>
              <w:rPr>
                <w:rFonts w:hint="eastAsia" w:ascii="仿宋_GB2312" w:hAnsi="仿宋_GB2312" w:eastAsia="仿宋_GB2312" w:cs="仿宋_GB2312"/>
                <w:color w:val="000000"/>
                <w:szCs w:val="21"/>
                <w:lang w:eastAsia="zh-CN"/>
              </w:rPr>
              <w:t>0</w:t>
            </w:r>
            <w:r>
              <w:rPr>
                <w:rFonts w:hint="default" w:ascii="Times New Roman" w:hAnsi="Times New Roman" w:eastAsia="仿宋_GB2312" w:cs="Times New Roman"/>
                <w:color w:val="000000"/>
                <w:szCs w:val="21"/>
                <w:lang w:eastAsia="zh-CN"/>
              </w:rPr>
              <w:t>年、商服用地</w:t>
            </w:r>
            <w:r>
              <w:rPr>
                <w:rFonts w:hint="eastAsia" w:ascii="仿宋_GB2312" w:hAnsi="仿宋_GB2312" w:eastAsia="仿宋_GB2312" w:cs="仿宋_GB2312"/>
                <w:color w:val="000000"/>
                <w:szCs w:val="21"/>
                <w:lang w:eastAsia="zh-CN"/>
              </w:rPr>
              <w:t>40</w:t>
            </w:r>
            <w:r>
              <w:rPr>
                <w:rFonts w:hint="default" w:ascii="Times New Roman" w:hAnsi="Times New Roman" w:eastAsia="仿宋_GB2312" w:cs="Times New Roman"/>
                <w:color w:val="000000"/>
                <w:szCs w:val="21"/>
                <w:lang w:eastAsia="zh-CN"/>
              </w:rPr>
              <w:t>年</w:t>
            </w:r>
          </w:p>
        </w:tc>
      </w:tr>
    </w:tbl>
    <w:p>
      <w:pPr>
        <w:tabs>
          <w:tab w:val="left" w:pos="11340"/>
        </w:tabs>
        <w:spacing w:line="600" w:lineRule="exact"/>
        <w:rPr>
          <w:rFonts w:hint="eastAsia" w:ascii="仿宋_GB2312" w:eastAsia="仿宋_GB2312"/>
          <w:sz w:val="32"/>
          <w:szCs w:val="32"/>
        </w:rPr>
      </w:pP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7"/>
                            </w:rPr>
                          </w:pPr>
                          <w:r>
                            <w:fldChar w:fldCharType="begin"/>
                          </w:r>
                          <w:r>
                            <w:rPr>
                              <w:rStyle w:val="7"/>
                            </w:rPr>
                            <w:instrText xml:space="preserve">PAGE  </w:instrText>
                          </w:r>
                          <w:r>
                            <w:fldChar w:fldCharType="separate"/>
                          </w:r>
                          <w:r>
                            <w:rPr>
                              <w:rStyle w:val="7"/>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Style w:val="7"/>
                      </w:rPr>
                    </w:pPr>
                    <w:r>
                      <w:fldChar w:fldCharType="begin"/>
                    </w:r>
                    <w:r>
                      <w:rPr>
                        <w:rStyle w:val="7"/>
                      </w:rPr>
                      <w:instrText xml:space="preserve">PAGE  </w:instrText>
                    </w:r>
                    <w:r>
                      <w:fldChar w:fldCharType="separate"/>
                    </w:r>
                    <w:r>
                      <w:rPr>
                        <w:rStyle w:val="7"/>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72D5D"/>
    <w:rsid w:val="00402174"/>
    <w:rsid w:val="018E4E0F"/>
    <w:rsid w:val="03AF5D89"/>
    <w:rsid w:val="04204F3F"/>
    <w:rsid w:val="04646D9B"/>
    <w:rsid w:val="08023020"/>
    <w:rsid w:val="08A72384"/>
    <w:rsid w:val="0A274F42"/>
    <w:rsid w:val="0B994773"/>
    <w:rsid w:val="0BF353F7"/>
    <w:rsid w:val="0DEA15A0"/>
    <w:rsid w:val="0F367033"/>
    <w:rsid w:val="12CA13D3"/>
    <w:rsid w:val="14F95C3F"/>
    <w:rsid w:val="19D2517C"/>
    <w:rsid w:val="20E86CE4"/>
    <w:rsid w:val="2C360F4F"/>
    <w:rsid w:val="2F621644"/>
    <w:rsid w:val="2FF12850"/>
    <w:rsid w:val="31C65399"/>
    <w:rsid w:val="329D3FB1"/>
    <w:rsid w:val="39B71B71"/>
    <w:rsid w:val="39FD5C2D"/>
    <w:rsid w:val="3ECB1787"/>
    <w:rsid w:val="41E719B2"/>
    <w:rsid w:val="44D4265B"/>
    <w:rsid w:val="47EA29E3"/>
    <w:rsid w:val="4CC72D5D"/>
    <w:rsid w:val="50BD43B6"/>
    <w:rsid w:val="51F77CE2"/>
    <w:rsid w:val="56880A30"/>
    <w:rsid w:val="57D0410A"/>
    <w:rsid w:val="582D1C28"/>
    <w:rsid w:val="5EEF0BB6"/>
    <w:rsid w:val="5F88117A"/>
    <w:rsid w:val="61A908D7"/>
    <w:rsid w:val="61CB526B"/>
    <w:rsid w:val="67300F65"/>
    <w:rsid w:val="69151D0C"/>
    <w:rsid w:val="694D6056"/>
    <w:rsid w:val="77011897"/>
    <w:rsid w:val="782A521D"/>
    <w:rsid w:val="7AC90AD9"/>
    <w:rsid w:val="7ACB0CE6"/>
    <w:rsid w:val="7FA9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2021-01-25T02:15:00Z</dcterms:created>
  <dc:creator>黄春枚</dc:creator>
  <cp:lastModifiedBy>黄春枚</cp:lastModifiedBy>
  <cp:lastPrinted>2021-04-14T01:47:00Z</cp:lastPrinted>
  <dcterms:modified xsi:type="dcterms:W3CDTF">2021-04-14T03:05:13Z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SaveFontToCloudKey">
    <vt:lpwstr>707054261_btnclosed</vt:lpwstr>
  </property>
  <property fmtid="{D5CDD505-2E9C-101B-9397-08002B2CF9AE}" pid="4" name="ICV">
    <vt:lpwstr>9BD9982A551A4F32942CE63437B35229</vt:lpwstr>
  </property>
</Properties>
</file>