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9"/>
        <w:bidi w:val="0"/>
        <w:rPr>
          <w:rFonts w:hint="eastAsia"/>
          <w:lang w:val="en-US" w:eastAsia="zh-CN"/>
        </w:rPr>
      </w:pPr>
      <w:r>
        <w:rPr>
          <w:rFonts w:hint="eastAsia"/>
          <w:lang w:val="en-US" w:eastAsia="zh-CN"/>
        </w:rPr>
        <w:t>惠州市国有建设用地使用权网上挂牌出让公告</w:t>
      </w:r>
    </w:p>
    <w:p>
      <w:pPr>
        <w:pStyle w:val="2"/>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cs="仿宋_GB2312"/>
          <w:sz w:val="32"/>
          <w:szCs w:val="32"/>
          <w:lang w:val="en-US" w:eastAsia="zh-CN"/>
        </w:rPr>
        <w:t>54</w:t>
      </w:r>
      <w:r>
        <w:rPr>
          <w:rFonts w:hint="eastAsia" w:ascii="仿宋_GB2312" w:hAnsi="仿宋_GB2312" w:eastAsia="仿宋_GB2312" w:cs="仿宋_GB2312"/>
          <w:sz w:val="32"/>
          <w:szCs w:val="32"/>
        </w:rPr>
        <w:t>号</w:t>
      </w:r>
    </w:p>
    <w:p>
      <w:pPr>
        <w:pStyle w:val="2"/>
        <w:ind w:left="0" w:leftChars="0" w:firstLine="0" w:firstLineChars="0"/>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根据《招标拍卖挂牌出让国有建设用地使用权规定》（国土资源部令 第39号）和《广东省土地使用权交易市场管理规定》（广东省人民政府令 第79号）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一、网上挂牌出让地块基本情况及规划指标要求</w:t>
      </w:r>
      <w:r>
        <w:rPr>
          <w:rFonts w:hint="eastAsia"/>
          <w:highlight w:val="none"/>
          <w:lang w:val="en-US" w:eastAsia="zh-CN"/>
        </w:rPr>
        <w:t>（见附表）。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二、网上挂牌竞买时间为2021年1月18日9时至2021年2月1日10时。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三、挂牌起始价为人民币6300万元，每次报价加价幅度为人民币100万元的整数倍。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四、中华人民共和国境内外的法人、自然人和其他组织（除法律法规另有规定外）均可申请参加竞买。申请人可以单独申请，也可以联合申请：</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kern w:val="2"/>
          <w:sz w:val="32"/>
          <w:szCs w:val="32"/>
          <w:lang w:val="en-US" w:eastAsia="zh-CN" w:bidi="ar-SA"/>
        </w:rPr>
        <w:t>（即竞得人必须是新公司的唯一股东）</w:t>
      </w:r>
      <w:r>
        <w:rPr>
          <w:rFonts w:hint="eastAsia"/>
          <w:lang w:val="en-US" w:eastAsia="zh-CN"/>
        </w:rPr>
        <w:t>。根据挂牌出让结果，可先与竞得人签订</w:t>
      </w:r>
      <w:r>
        <w:rPr>
          <w:rFonts w:hint="eastAsia"/>
          <w:highlight w:val="none"/>
          <w:lang w:val="en-US" w:eastAsia="zh-CN"/>
        </w:rPr>
        <w:t>《国有建设用地使用权出让合同》（以下简称《出让合同》）</w:t>
      </w:r>
      <w:r>
        <w:rPr>
          <w:rFonts w:hint="eastAsia"/>
          <w:lang w:val="en-US" w:eastAsia="zh-CN"/>
        </w:rPr>
        <w:t>，在竞得人按约定办理完新公司注册登记手续后，再与新公司签订《国有建设用地使用权出让合同变更协议》，也可按约定直接与新公司签订《出让合同》。</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五、该宗地竞买保证金可用人民币及外币（暂限于美元、港币）支付。</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六、申请人应具备的其他条件：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（一）缴交竞买保证金</w:t>
      </w:r>
      <w:r>
        <w:rPr>
          <w:rFonts w:hint="eastAsia"/>
          <w:highlight w:val="none"/>
          <w:lang w:val="en-US" w:eastAsia="zh-CN"/>
        </w:rPr>
        <w:t>1260</w:t>
      </w:r>
      <w:r>
        <w:rPr>
          <w:rFonts w:hint="eastAsia"/>
          <w:lang w:val="en-US" w:eastAsia="zh-CN"/>
        </w:rPr>
        <w:t>万元人民币，如以外币缴交竞买保证金的，须缴交美元</w:t>
      </w:r>
      <w:r>
        <w:rPr>
          <w:rFonts w:hint="eastAsia"/>
          <w:highlight w:val="none"/>
          <w:lang w:val="en-US" w:eastAsia="zh-CN"/>
        </w:rPr>
        <w:t>192</w:t>
      </w:r>
      <w:r>
        <w:rPr>
          <w:rFonts w:hint="eastAsia"/>
          <w:lang w:val="en-US" w:eastAsia="zh-CN"/>
        </w:rPr>
        <w:t>万元或港币</w:t>
      </w:r>
      <w:r>
        <w:rPr>
          <w:rFonts w:hint="eastAsia"/>
          <w:highlight w:val="none"/>
          <w:lang w:val="en-US" w:eastAsia="zh-CN"/>
        </w:rPr>
        <w:t>1485</w:t>
      </w:r>
      <w:r>
        <w:rPr>
          <w:rFonts w:hint="eastAsia"/>
          <w:lang w:val="en-US" w:eastAsia="zh-CN"/>
        </w:rPr>
        <w:t>万元；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（二）竞得人在用地红线内开发建设必须符合城市规划要求，必须按《建设用地规划设计条件》（案卷编号：PB20200070号）规划控制指标要求及有关规定进行规划设计；</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（三）小塘下（黄家塘街至永新路段）和永新路（小塘下至东湖西路段）须按照规划改造拓宽，并由取得B-03-13-01-01用地的土地使用权者负责建设；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（四）地面公园由取得B-03-13-01-01用地的土地使用权者按照市政园林管理部门相关要求，与地上文体活动中心及商业、地下停车库同步规划、同步建设、同步验收交付使用，并无偿移交给政府相关部门；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（五）取得B-03-13-01-01用地的土地使用权者须按照《建设用地规划设计条件》要求规划建设，并配建相关设施；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（六）存在下列违法违规违约行为之一的企业及其控股股东，不得参与竞买上述地块：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1.存在伪造公文骗取用地和非法倒卖土地等犯罪行为的；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2.存在非法转让土地使用权等违法行为的；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3.因企业原因造成土地闲置一年以上且至报名日止未处罚完结的；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5.至报名日止仍拖欠政府地价款的;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6.被列入问题楼盘开发企业黑名单的;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7.存在其它被禁止竞买土地行为的。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七、本次国有建设用地使用权网上挂牌出让为无底价挂牌出让，按照价高者得的原则确定竞得人。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八、本次网上挂牌出让的详细资料和具体要求，见惠州市公共资源交易中心土地与矿业网上挂牌交易系统（</w:t>
      </w:r>
      <w:r>
        <w:rPr>
          <w:rFonts w:hint="default" w:ascii="仿宋_GB2312" w:hAnsi="仿宋_GB2312" w:eastAsia="仿宋_GB2312" w:cs="仿宋_GB2312"/>
          <w:kern w:val="2"/>
          <w:sz w:val="32"/>
          <w:szCs w:val="32"/>
          <w:lang w:val="en-US" w:eastAsia="zh-CN" w:bidi="ar-SA"/>
        </w:rPr>
        <w:t>https://www.hzgtjy.com/</w:t>
      </w:r>
      <w:r>
        <w:rPr>
          <w:rFonts w:hint="eastAsia"/>
          <w:lang w:val="en-US" w:eastAsia="zh-CN"/>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九、有意竞买者可以自行到地块现场踏勘（可在网上挂牌交易系统查阅位置图和现状图）。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十、申请人应当在网上挂牌出让结束前登陆惠州市公共资源交易中心土地与矿业网上挂牌交易系统并在系统上向惠州市公共资源交易中心提交竞买申请并支付保证金。网上挂牌保证金到账截止时间为2021年2月1日上午9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lang w:val="en-US" w:eastAsia="zh-CN"/>
        </w:rPr>
      </w:pPr>
      <w:r>
        <w:rPr>
          <w:rFonts w:hint="eastAsia"/>
          <w:highlight w:val="none"/>
          <w:lang w:val="en-US" w:eastAsia="zh-CN"/>
        </w:rPr>
        <w:t>十二、竞得人签订《成交确认书》后，缴交的保证金中按成交价的10%转作定金，竞得人签订《出让合同》后，定金转作土地出让价款。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保证金少于成交价10%的，不足部分由竞得人在签订《成交确认书》之日起5个工作日内付清。</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十三、其它需要公告的事项</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lang w:val="en-US" w:eastAsia="zh-CN"/>
        </w:rPr>
      </w:pPr>
      <w:r>
        <w:rPr>
          <w:rFonts w:hint="eastAsia"/>
          <w:highlight w:val="none"/>
          <w:lang w:val="en-US" w:eastAsia="zh-CN"/>
        </w:rPr>
        <w:t>（一）开发投资总额不少于10000万元（含地价，不含地价溢价部分）。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lang w:val="en-US" w:eastAsia="zh-CN"/>
        </w:rPr>
      </w:pPr>
      <w:r>
        <w:rPr>
          <w:rFonts w:hint="eastAsia"/>
          <w:highlight w:val="none"/>
          <w:lang w:val="en-US" w:eastAsia="zh-CN"/>
        </w:rPr>
        <w:t>（二）土地成交价款须以人民币支付，竞得人须在签订《出让合同》之日起一个月内缴清土地成交价款。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highlight w:val="none"/>
          <w:lang w:val="en-US" w:eastAsia="zh-CN"/>
        </w:rPr>
      </w:pPr>
      <w:r>
        <w:rPr>
          <w:rFonts w:hint="eastAsia"/>
          <w:highlight w:val="none"/>
          <w:lang w:val="en-US" w:eastAsia="zh-CN"/>
        </w:rPr>
        <w:t>（三）该地权利清晰，安置补偿落实到位，没有法律经济纠纷，具备动工开发所必须的基本条件。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b w:val="0"/>
          <w:bCs w:val="0"/>
          <w:highlight w:val="none"/>
          <w:lang w:val="en-US" w:eastAsia="zh-CN"/>
        </w:rPr>
        <w:t>（四）</w:t>
      </w:r>
      <w:r>
        <w:rPr>
          <w:rFonts w:hint="eastAsia"/>
          <w:highlight w:val="none"/>
          <w:lang w:val="en-US" w:eastAsia="zh-CN"/>
        </w:rPr>
        <w:t>竞得人有下列行为之一的，视为违约，取消</w:t>
      </w:r>
      <w:r>
        <w:rPr>
          <w:rFonts w:hint="eastAsia"/>
          <w:lang w:val="en-US" w:eastAsia="zh-CN"/>
        </w:rPr>
        <w:t>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1、不符合竞买资格条件的；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2、采取行贿、恶意串通等非法手段竞得的；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3、竞得人以其他非法手段竞得的；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4、竞得人逾期或拒绝签订《成交确认书》的；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5、竞得人逾期或拒绝签订《出让合同》的；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7、构成违约责任的其他行为。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（五）挂牌出让价款不含应由竞得人缴纳的契税、印花税等有关费用。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lang w:val="en-US" w:eastAsia="zh-CN"/>
        </w:rPr>
      </w:pPr>
      <w:r>
        <w:rPr>
          <w:rFonts w:hint="eastAsia" w:ascii="仿宋_GB2312" w:hAnsi="仿宋_GB2312" w:eastAsia="仿宋_GB2312" w:cs="仿宋_GB2312"/>
          <w:sz w:val="32"/>
          <w:szCs w:val="32"/>
          <w:lang w:eastAsia="zh-CN"/>
        </w:rPr>
        <w:t>十</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十五、联系方式：</w:t>
      </w:r>
    </w:p>
    <w:p>
      <w:pPr>
        <w:keepNext w:val="0"/>
        <w:keepLines w:val="0"/>
        <w:pageBreakBefore w:val="0"/>
        <w:kinsoku/>
        <w:wordWrap/>
        <w:overflowPunct/>
        <w:topLinePunct w:val="0"/>
        <w:bidi w:val="0"/>
        <w:spacing w:line="560" w:lineRule="exact"/>
        <w:ind w:firstLine="555"/>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联系地址：广东省惠州市江北文华一路2号大隆大厦6楼</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联系人：袁小姐、黄小姐</w:t>
      </w:r>
      <w:r>
        <w:rPr>
          <w:rFonts w:hint="eastAsia" w:ascii="仿宋_GB2312" w:hAnsi="仿宋_GB2312" w:eastAsia="仿宋_GB2312" w:cs="仿宋_GB2312"/>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联系电话：</w:t>
      </w:r>
      <w:r>
        <w:rPr>
          <w:rFonts w:hint="eastAsia" w:ascii="仿宋_GB2312" w:hAnsi="仿宋_GB2312" w:eastAsia="仿宋_GB2312" w:cs="仿宋_GB2312"/>
          <w:kern w:val="2"/>
          <w:sz w:val="32"/>
          <w:szCs w:val="32"/>
          <w:lang w:val="en-US" w:eastAsia="zh-CN" w:bidi="ar-SA"/>
        </w:rPr>
        <w:t>（0752）7121026、7121042</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注：本公告同时在下列网站及场所发布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中国土地市场网：http://www.landchina.com</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广东省土地市场网：http://www.landgd.com</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惠州市自然资源局网站：http://land.huizhou.gov.cn</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惠州市公共资源交易中心网：http://zyjy.huizhou.gov.cn</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惠州市公共资源交易中心交易大厅现场。</w:t>
      </w:r>
    </w:p>
    <w:p>
      <w:pPr>
        <w:keepNext w:val="0"/>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r>
        <w:rPr>
          <w:rFonts w:hint="eastAsia"/>
          <w:lang w:val="en-US" w:eastAsia="zh-CN"/>
        </w:rPr>
        <w:t>惠州日报。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数字证书办理地址：惠州市江北云山西路二号帝景国际商务中心七层18-22房</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lang w:val="en-US" w:eastAsia="zh-CN"/>
        </w:rPr>
      </w:pPr>
      <w:r>
        <w:rPr>
          <w:rFonts w:hint="eastAsia"/>
          <w:lang w:val="en-US" w:eastAsia="zh-CN"/>
        </w:rPr>
        <w:t>联系电话：0752-2898481</w:t>
      </w:r>
    </w:p>
    <w:p>
      <w:pPr>
        <w:bidi w:val="0"/>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right="1224" w:rightChars="400" w:firstLine="0" w:firstLineChars="0"/>
        <w:jc w:val="righ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right="1224" w:rightChars="400" w:firstLine="0" w:firstLineChars="0"/>
        <w:jc w:val="right"/>
        <w:textAlignment w:val="auto"/>
        <w:rPr>
          <w:rFonts w:hint="eastAsia"/>
          <w:lang w:val="en-US" w:eastAsia="zh-CN"/>
        </w:rPr>
      </w:pPr>
      <w:r>
        <w:rPr>
          <w:rFonts w:hint="eastAsia"/>
          <w:lang w:val="en-US" w:eastAsia="zh-CN"/>
        </w:rPr>
        <w:t>惠州市自然资源局</w:t>
      </w:r>
    </w:p>
    <w:p>
      <w:pPr>
        <w:wordWrap w:val="0"/>
        <w:bidi w:val="0"/>
        <w:jc w:val="center"/>
        <w:rPr>
          <w:rFonts w:hint="eastAsia"/>
          <w:lang w:val="en-US" w:eastAsia="zh-CN"/>
        </w:rPr>
      </w:pPr>
      <w:r>
        <w:rPr>
          <w:rFonts w:hint="eastAsia"/>
          <w:lang w:val="en-US" w:eastAsia="zh-CN"/>
        </w:rPr>
        <w:t xml:space="preserve">                         惠州市公共资源交易中心 </w:t>
      </w:r>
    </w:p>
    <w:p>
      <w:pPr>
        <w:pStyle w:val="2"/>
        <w:ind w:firstLine="5202" w:firstLineChars="1700"/>
        <w:rPr>
          <w:rFonts w:hint="default"/>
          <w:lang w:val="en-US" w:eastAsia="zh-CN"/>
        </w:rPr>
      </w:pPr>
      <w:r>
        <w:rPr>
          <w:rFonts w:hint="eastAsia" w:ascii="Times New Roman" w:hAnsi="Times New Roman" w:eastAsia="仿宋_GB2312" w:cstheme="minorBidi"/>
          <w:kern w:val="2"/>
          <w:sz w:val="32"/>
          <w:szCs w:val="32"/>
          <w:lang w:val="en-US" w:eastAsia="zh-CN" w:bidi="ar-SA"/>
        </w:rPr>
        <w:t>2020年</w:t>
      </w:r>
      <w:r>
        <w:rPr>
          <w:rFonts w:hint="eastAsia" w:cstheme="minorBidi"/>
          <w:kern w:val="2"/>
          <w:sz w:val="32"/>
          <w:szCs w:val="32"/>
          <w:lang w:val="en-US" w:eastAsia="zh-CN" w:bidi="ar-SA"/>
        </w:rPr>
        <w:t>12</w:t>
      </w:r>
      <w:r>
        <w:rPr>
          <w:rFonts w:hint="eastAsia" w:ascii="Times New Roman" w:hAnsi="Times New Roman" w:eastAsia="仿宋_GB2312" w:cstheme="minorBidi"/>
          <w:kern w:val="2"/>
          <w:sz w:val="32"/>
          <w:szCs w:val="32"/>
          <w:lang w:val="en-US" w:eastAsia="zh-CN" w:bidi="ar-SA"/>
        </w:rPr>
        <w:t>月</w:t>
      </w:r>
      <w:r>
        <w:rPr>
          <w:rFonts w:hint="eastAsia" w:cstheme="minorBidi"/>
          <w:kern w:val="2"/>
          <w:sz w:val="32"/>
          <w:szCs w:val="32"/>
          <w:lang w:val="en-US" w:eastAsia="zh-CN" w:bidi="ar-SA"/>
        </w:rPr>
        <w:t>28</w:t>
      </w:r>
      <w:r>
        <w:rPr>
          <w:rFonts w:hint="eastAsia" w:ascii="Times New Roman" w:hAnsi="Times New Roman" w:eastAsia="仿宋_GB2312" w:cstheme="minorBidi"/>
          <w:kern w:val="2"/>
          <w:sz w:val="32"/>
          <w:szCs w:val="32"/>
          <w:lang w:val="en-US" w:eastAsia="zh-CN" w:bidi="ar-SA"/>
        </w:rPr>
        <w:t>日</w:t>
      </w:r>
    </w:p>
    <w:p>
      <w:pPr>
        <w:wordWrap w:val="0"/>
        <w:bidi w:val="0"/>
        <w:jc w:val="right"/>
        <w:rPr>
          <w:rFonts w:hint="default"/>
          <w:lang w:val="en-US" w:eastAsia="zh-CN"/>
        </w:rPr>
      </w:pPr>
      <w:r>
        <w:rPr>
          <w:rFonts w:hint="eastAsia"/>
          <w:lang w:val="en-US" w:eastAsia="zh-CN"/>
        </w:rPr>
        <w:t xml:space="preserve">    </w:t>
      </w:r>
    </w:p>
    <w:p>
      <w:pPr>
        <w:bidi w:val="0"/>
        <w:rPr>
          <w:rFonts w:hint="default"/>
          <w:lang w:val="en-US" w:eastAsia="zh-CN"/>
        </w:rPr>
      </w:pPr>
    </w:p>
    <w:p>
      <w:pPr>
        <w:bidi w:val="0"/>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附表</w:t>
      </w:r>
    </w:p>
    <w:p>
      <w:pPr>
        <w:keepNext w:val="0"/>
        <w:keepLines w:val="0"/>
        <w:pageBreakBefore w:val="0"/>
        <w:widowControl w:val="0"/>
        <w:tabs>
          <w:tab w:val="left" w:pos="9720"/>
        </w:tabs>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pPr w:leftFromText="180" w:rightFromText="180" w:vertAnchor="text" w:horzAnchor="page" w:tblpX="682" w:tblpY="167"/>
        <w:tblOverlap w:val="never"/>
        <w:tblW w:w="10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53"/>
        <w:gridCol w:w="626"/>
        <w:gridCol w:w="700"/>
        <w:gridCol w:w="827"/>
        <w:gridCol w:w="810"/>
        <w:gridCol w:w="734"/>
        <w:gridCol w:w="1045"/>
        <w:gridCol w:w="1059"/>
        <w:gridCol w:w="559"/>
        <w:gridCol w:w="522"/>
        <w:gridCol w:w="873"/>
        <w:gridCol w:w="737"/>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29"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挂牌地块编号</w:t>
            </w:r>
          </w:p>
        </w:tc>
        <w:tc>
          <w:tcPr>
            <w:tcW w:w="553" w:type="dxa"/>
            <w:vMerge w:val="restart"/>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土地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位置</w:t>
            </w:r>
          </w:p>
        </w:tc>
        <w:tc>
          <w:tcPr>
            <w:tcW w:w="626"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规划编号</w:t>
            </w:r>
          </w:p>
        </w:tc>
        <w:tc>
          <w:tcPr>
            <w:tcW w:w="700" w:type="dxa"/>
            <w:vMerge w:val="restart"/>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土地</w:t>
            </w:r>
          </w:p>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用途</w:t>
            </w:r>
          </w:p>
        </w:tc>
        <w:tc>
          <w:tcPr>
            <w:tcW w:w="7166" w:type="dxa"/>
            <w:gridSpan w:val="9"/>
            <w:vAlign w:val="center"/>
          </w:tcPr>
          <w:p>
            <w:pPr>
              <w:keepNext w:val="0"/>
              <w:keepLines w:val="0"/>
              <w:pageBreakBefore w:val="0"/>
              <w:widowControl w:val="0"/>
              <w:kinsoku/>
              <w:wordWrap/>
              <w:overflowPunct/>
              <w:topLinePunct w:val="0"/>
              <w:bidi w:val="0"/>
              <w:adjustRightInd w:val="0"/>
              <w:snapToGrid w:val="0"/>
              <w:spacing w:line="240" w:lineRule="exact"/>
              <w:ind w:left="-272" w:leftChars="-89"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规划指标要求</w:t>
            </w:r>
          </w:p>
        </w:tc>
        <w:tc>
          <w:tcPr>
            <w:tcW w:w="986" w:type="dxa"/>
            <w:vMerge w:val="restart"/>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出让</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trPr>
        <w:tc>
          <w:tcPr>
            <w:tcW w:w="829"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553"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626"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700" w:type="dxa"/>
            <w:vMerge w:val="continue"/>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sz w:val="22"/>
                <w:szCs w:val="22"/>
              </w:rPr>
            </w:pPr>
          </w:p>
        </w:tc>
        <w:tc>
          <w:tcPr>
            <w:tcW w:w="827"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计算</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指标</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用地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面积（㎡）</w:t>
            </w:r>
          </w:p>
        </w:tc>
        <w:tc>
          <w:tcPr>
            <w:tcW w:w="810"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宗地</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使用权面积（㎡）</w:t>
            </w:r>
          </w:p>
        </w:tc>
        <w:tc>
          <w:tcPr>
            <w:tcW w:w="734"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容</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积</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率</w:t>
            </w:r>
          </w:p>
        </w:tc>
        <w:tc>
          <w:tcPr>
            <w:tcW w:w="1045" w:type="dxa"/>
            <w:vAlign w:val="center"/>
          </w:tcPr>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计容积率建筑面积（㎡）</w:t>
            </w:r>
          </w:p>
        </w:tc>
        <w:tc>
          <w:tcPr>
            <w:tcW w:w="1059"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bCs/>
                <w:sz w:val="22"/>
                <w:szCs w:val="16"/>
              </w:rPr>
              <w:t>机动车停车位配建标准</w:t>
            </w:r>
            <w:r>
              <w:rPr>
                <w:rFonts w:hint="eastAsia" w:ascii="仿宋_GB2312" w:hAnsi="仿宋_GB2312" w:cs="仿宋_GB2312"/>
                <w:b/>
                <w:bCs/>
                <w:sz w:val="22"/>
                <w:szCs w:val="16"/>
                <w:lang w:eastAsia="zh-CN"/>
              </w:rPr>
              <w:t>（个）</w:t>
            </w:r>
          </w:p>
        </w:tc>
        <w:tc>
          <w:tcPr>
            <w:tcW w:w="559"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绿地率</w:t>
            </w:r>
          </w:p>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eastAsia="仿宋_GB2312" w:cs="仿宋_GB2312"/>
                <w:b/>
                <w:bCs/>
                <w:sz w:val="22"/>
                <w:szCs w:val="16"/>
              </w:rPr>
              <w:t>（％）</w:t>
            </w:r>
          </w:p>
        </w:tc>
        <w:tc>
          <w:tcPr>
            <w:tcW w:w="522" w:type="dxa"/>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16"/>
                <w:lang w:eastAsia="zh-CN"/>
              </w:rPr>
            </w:pPr>
            <w:r>
              <w:rPr>
                <w:rFonts w:hint="eastAsia" w:ascii="仿宋_GB2312" w:hAnsi="仿宋_GB2312" w:cs="仿宋_GB2312"/>
                <w:b/>
                <w:bCs/>
                <w:sz w:val="22"/>
                <w:szCs w:val="16"/>
                <w:lang w:eastAsia="zh-CN"/>
              </w:rPr>
              <w:t>建筑高速控制（</w:t>
            </w:r>
            <w:r>
              <w:rPr>
                <w:rFonts w:hint="eastAsia" w:ascii="仿宋_GB2312" w:hAnsi="仿宋_GB2312" w:cs="仿宋_GB2312"/>
                <w:b/>
                <w:bCs/>
                <w:sz w:val="22"/>
                <w:szCs w:val="16"/>
                <w:lang w:val="en-US" w:eastAsia="zh-CN"/>
              </w:rPr>
              <w:t>m</w:t>
            </w:r>
            <w:r>
              <w:rPr>
                <w:rFonts w:hint="eastAsia" w:ascii="仿宋_GB2312" w:hAnsi="仿宋_GB2312" w:cs="仿宋_GB2312"/>
                <w:b/>
                <w:bCs/>
                <w:sz w:val="22"/>
                <w:szCs w:val="16"/>
                <w:lang w:eastAsia="zh-CN"/>
              </w:rPr>
              <w:t>）</w:t>
            </w:r>
          </w:p>
        </w:tc>
        <w:tc>
          <w:tcPr>
            <w:tcW w:w="873" w:type="dxa"/>
            <w:vAlign w:val="center"/>
          </w:tcPr>
          <w:p>
            <w:pPr>
              <w:keepNext w:val="0"/>
              <w:keepLines w:val="0"/>
              <w:pageBreakBefore w:val="0"/>
              <w:widowControl w:val="0"/>
              <w:kinsoku/>
              <w:wordWrap/>
              <w:overflowPunct/>
              <w:topLinePunct w:val="0"/>
              <w:bidi w:val="0"/>
              <w:spacing w:line="240" w:lineRule="exact"/>
              <w:ind w:left="44" w:right="-76" w:rightChars="-25" w:firstLine="0" w:firstLineChars="0"/>
              <w:jc w:val="center"/>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16"/>
              </w:rPr>
              <w:t>适建性</w:t>
            </w:r>
          </w:p>
        </w:tc>
        <w:tc>
          <w:tcPr>
            <w:tcW w:w="737"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bCs/>
                <w:sz w:val="22"/>
                <w:szCs w:val="16"/>
              </w:rPr>
            </w:pPr>
            <w:r>
              <w:rPr>
                <w:rFonts w:hint="eastAsia" w:ascii="仿宋_GB2312" w:hAnsi="仿宋_GB2312" w:cs="仿宋_GB2312"/>
                <w:b/>
                <w:bCs/>
                <w:sz w:val="22"/>
                <w:szCs w:val="16"/>
                <w:lang w:eastAsia="zh-CN"/>
              </w:rPr>
              <w:t>地下室</w:t>
            </w:r>
            <w:r>
              <w:rPr>
                <w:rFonts w:hint="eastAsia" w:ascii="仿宋_GB2312" w:hAnsi="仿宋_GB2312" w:eastAsia="仿宋_GB2312" w:cs="仿宋_GB2312"/>
                <w:b/>
                <w:bCs/>
                <w:sz w:val="22"/>
                <w:szCs w:val="16"/>
              </w:rPr>
              <w:t>宗地</w:t>
            </w:r>
          </w:p>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
                <w:bCs/>
                <w:sz w:val="22"/>
                <w:szCs w:val="16"/>
              </w:rPr>
              <w:t>使用权面积（㎡）</w:t>
            </w:r>
          </w:p>
        </w:tc>
        <w:tc>
          <w:tcPr>
            <w:tcW w:w="986" w:type="dxa"/>
            <w:vMerge w:val="continue"/>
            <w:vAlign w:val="center"/>
          </w:tcPr>
          <w:p>
            <w:pPr>
              <w:keepNext w:val="0"/>
              <w:keepLines w:val="0"/>
              <w:pageBreakBefore w:val="0"/>
              <w:widowControl w:val="0"/>
              <w:kinsoku/>
              <w:wordWrap/>
              <w:overflowPunct/>
              <w:topLinePunct w:val="0"/>
              <w:autoSpaceDE w:val="0"/>
              <w:autoSpaceDN w:val="0"/>
              <w:bidi w:val="0"/>
              <w:adjustRightInd w:val="0"/>
              <w:spacing w:line="240" w:lineRule="exact"/>
              <w:ind w:firstLine="0" w:firstLineChars="0"/>
              <w:jc w:val="center"/>
              <w:textAlignment w:val="auto"/>
              <w:rPr>
                <w:rFonts w:hint="eastAsia" w:ascii="仿宋_GB2312" w:hAnsi="仿宋_GB2312" w:eastAsia="仿宋_GB2312" w:cs="仿宋_GB2312"/>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9" w:hRule="atLeast"/>
        </w:trPr>
        <w:tc>
          <w:tcPr>
            <w:tcW w:w="829" w:type="dxa"/>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GP2020</w:t>
            </w:r>
          </w:p>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-54</w:t>
            </w:r>
            <w:bookmarkStart w:id="0" w:name="_GoBack"/>
            <w:bookmarkEnd w:id="0"/>
          </w:p>
        </w:tc>
        <w:tc>
          <w:tcPr>
            <w:tcW w:w="553"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sz w:val="22"/>
                <w:szCs w:val="16"/>
                <w:lang w:val="en-US" w:eastAsia="zh-CN"/>
              </w:rPr>
              <w:t>惠州 市惠城区</w:t>
            </w:r>
            <w:r>
              <w:rPr>
                <w:rFonts w:hint="eastAsia" w:ascii="仿宋_GB2312" w:hAnsi="仿宋_GB2312" w:cs="仿宋_GB2312"/>
                <w:b w:val="0"/>
                <w:bCs w:val="0"/>
                <w:sz w:val="22"/>
                <w:szCs w:val="16"/>
                <w:lang w:eastAsia="zh-CN"/>
              </w:rPr>
              <w:t>桥东</w:t>
            </w:r>
          </w:p>
        </w:tc>
        <w:tc>
          <w:tcPr>
            <w:tcW w:w="626"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B-03-13-01-01</w:t>
            </w:r>
          </w:p>
        </w:tc>
        <w:tc>
          <w:tcPr>
            <w:tcW w:w="700" w:type="dxa"/>
            <w:tcMar>
              <w:left w:w="0" w:type="dxa"/>
              <w:right w:w="0" w:type="dxa"/>
            </w:tcMar>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eastAsia" w:ascii="仿宋_GB2312" w:hAnsi="仿宋_GB2312" w:eastAsia="仿宋_GB2312" w:cs="仿宋_GB2312"/>
                <w:b w:val="0"/>
                <w:bCs w:val="0"/>
                <w:sz w:val="22"/>
                <w:szCs w:val="16"/>
                <w:lang w:eastAsia="zh-CN"/>
              </w:rPr>
            </w:pPr>
            <w:r>
              <w:rPr>
                <w:rFonts w:hint="eastAsia" w:ascii="仿宋_GB2312" w:hAnsi="仿宋_GB2312" w:cs="仿宋_GB2312"/>
                <w:b w:val="0"/>
                <w:bCs w:val="0"/>
                <w:sz w:val="22"/>
                <w:szCs w:val="16"/>
                <w:lang w:eastAsia="zh-CN"/>
              </w:rPr>
              <w:t>体育用地、商服用地、交通服务场站用地</w:t>
            </w:r>
          </w:p>
        </w:tc>
        <w:tc>
          <w:tcPr>
            <w:tcW w:w="827"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19358.36</w:t>
            </w:r>
          </w:p>
        </w:tc>
        <w:tc>
          <w:tcPr>
            <w:tcW w:w="810" w:type="dxa"/>
            <w:vAlign w:val="center"/>
          </w:tcPr>
          <w:p>
            <w:pPr>
              <w:keepNext w:val="0"/>
              <w:keepLines w:val="0"/>
              <w:pageBreakBefore w:val="0"/>
              <w:widowControl w:val="0"/>
              <w:kinsoku/>
              <w:wordWrap/>
              <w:overflowPunct/>
              <w:topLinePunct w:val="0"/>
              <w:bidi w:val="0"/>
              <w:spacing w:line="240" w:lineRule="exact"/>
              <w:ind w:firstLine="0" w:firstLineChars="0"/>
              <w:jc w:val="center"/>
              <w:textAlignment w:val="auto"/>
              <w:rPr>
                <w:rFonts w:hint="default" w:ascii="仿宋_GB2312" w:hAnsi="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16560.92</w:t>
            </w:r>
          </w:p>
        </w:tc>
        <w:tc>
          <w:tcPr>
            <w:tcW w:w="734"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cs="仿宋_GB2312"/>
                <w:b w:val="0"/>
                <w:bCs w:val="0"/>
                <w:sz w:val="22"/>
                <w:szCs w:val="16"/>
                <w:lang w:val="en-US" w:eastAsia="zh-CN"/>
              </w:rPr>
              <w:t>≤0.55</w:t>
            </w:r>
          </w:p>
        </w:tc>
        <w:tc>
          <w:tcPr>
            <w:tcW w:w="1045"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cs="仿宋_GB2312"/>
                <w:b w:val="0"/>
                <w:bCs w:val="0"/>
                <w:color w:val="000000"/>
                <w:sz w:val="22"/>
                <w:szCs w:val="16"/>
                <w:lang w:val="en-US" w:eastAsia="zh-CN"/>
              </w:rPr>
            </w:pPr>
            <w:r>
              <w:rPr>
                <w:rFonts w:hint="eastAsia" w:ascii="仿宋_GB2312" w:hAnsi="仿宋_GB2312" w:cs="仿宋_GB2312"/>
                <w:b w:val="0"/>
                <w:bCs w:val="0"/>
                <w:color w:val="000000"/>
                <w:sz w:val="22"/>
                <w:szCs w:val="16"/>
                <w:lang w:val="en-US" w:eastAsia="zh-CN"/>
              </w:rPr>
              <w:t>≤10646（其中文体活动中心≥6000、配套商业≤4000）</w:t>
            </w:r>
          </w:p>
        </w:tc>
        <w:tc>
          <w:tcPr>
            <w:tcW w:w="1059"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地下自走式停车位≥800（含文体活动中心及商业配套停车位≥100）</w:t>
            </w:r>
          </w:p>
        </w:tc>
        <w:tc>
          <w:tcPr>
            <w:tcW w:w="559"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default" w:ascii="仿宋_GB2312" w:hAnsi="仿宋_GB2312" w:eastAsia="仿宋_GB2312" w:cs="仿宋_GB2312"/>
                <w:b w:val="0"/>
                <w:bCs w:val="0"/>
                <w:sz w:val="22"/>
                <w:szCs w:val="16"/>
                <w:lang w:val="en-US" w:eastAsia="zh-CN"/>
              </w:rPr>
            </w:pPr>
            <w:r>
              <w:rPr>
                <w:rFonts w:hint="eastAsia" w:ascii="仿宋_GB2312" w:hAnsi="仿宋_GB2312" w:eastAsia="仿宋_GB2312" w:cs="仿宋_GB2312"/>
                <w:b w:val="0"/>
                <w:bCs w:val="0"/>
                <w:color w:val="000000"/>
                <w:sz w:val="22"/>
                <w:szCs w:val="16"/>
              </w:rPr>
              <w:t>≥</w:t>
            </w:r>
            <w:r>
              <w:rPr>
                <w:rFonts w:hint="eastAsia" w:ascii="仿宋_GB2312" w:hAnsi="仿宋_GB2312" w:cs="仿宋_GB2312"/>
                <w:b w:val="0"/>
                <w:bCs w:val="0"/>
                <w:color w:val="000000"/>
                <w:sz w:val="22"/>
                <w:szCs w:val="16"/>
                <w:lang w:val="en-US" w:eastAsia="zh-CN"/>
              </w:rPr>
              <w:t>65</w:t>
            </w:r>
          </w:p>
        </w:tc>
        <w:tc>
          <w:tcPr>
            <w:tcW w:w="522" w:type="dxa"/>
            <w:vAlign w:val="center"/>
          </w:tcPr>
          <w:p>
            <w:pPr>
              <w:keepNext w:val="0"/>
              <w:keepLines w:val="0"/>
              <w:pageBreakBefore w:val="0"/>
              <w:widowControl w:val="0"/>
              <w:kinsoku/>
              <w:wordWrap/>
              <w:overflowPunct/>
              <w:topLinePunct w:val="0"/>
              <w:bidi w:val="0"/>
              <w:spacing w:line="240" w:lineRule="exact"/>
              <w:ind w:leftChars="-51" w:right="-171" w:rightChars="-56" w:firstLine="0" w:firstLineChars="0"/>
              <w:jc w:val="center"/>
              <w:textAlignment w:val="auto"/>
              <w:rPr>
                <w:rFonts w:hint="default" w:ascii="仿宋_GB2312" w:hAnsi="仿宋_GB2312" w:eastAsia="仿宋_GB2312" w:cs="仿宋_GB2312"/>
                <w:b w:val="0"/>
                <w:bCs w:val="0"/>
                <w:color w:val="000000"/>
                <w:sz w:val="22"/>
                <w:szCs w:val="16"/>
                <w:lang w:val="en-US" w:eastAsia="zh-CN"/>
              </w:rPr>
            </w:pPr>
            <w:r>
              <w:rPr>
                <w:rFonts w:hint="eastAsia" w:ascii="仿宋_GB2312" w:hAnsi="仿宋_GB2312" w:cs="仿宋_GB2312"/>
                <w:b w:val="0"/>
                <w:bCs w:val="0"/>
                <w:color w:val="000000"/>
                <w:sz w:val="22"/>
                <w:szCs w:val="16"/>
                <w:lang w:eastAsia="zh-CN"/>
              </w:rPr>
              <w:t>≤</w:t>
            </w:r>
            <w:r>
              <w:rPr>
                <w:rFonts w:hint="eastAsia" w:ascii="仿宋_GB2312" w:hAnsi="仿宋_GB2312" w:cs="仿宋_GB2312"/>
                <w:b w:val="0"/>
                <w:bCs w:val="0"/>
                <w:color w:val="000000"/>
                <w:sz w:val="22"/>
                <w:szCs w:val="16"/>
                <w:lang w:val="en-US" w:eastAsia="zh-CN"/>
              </w:rPr>
              <w:t>24</w:t>
            </w:r>
          </w:p>
        </w:tc>
        <w:tc>
          <w:tcPr>
            <w:tcW w:w="873" w:type="dxa"/>
            <w:vAlign w:val="center"/>
          </w:tcPr>
          <w:p>
            <w:pPr>
              <w:keepNext w:val="0"/>
              <w:keepLines w:val="0"/>
              <w:pageBreakBefore w:val="0"/>
              <w:widowControl w:val="0"/>
              <w:kinsoku/>
              <w:wordWrap/>
              <w:overflowPunct/>
              <w:topLinePunct w:val="0"/>
              <w:bidi w:val="0"/>
              <w:spacing w:line="240" w:lineRule="exact"/>
              <w:ind w:left="-15" w:leftChars="-5" w:right="-70" w:rightChars="-23" w:firstLine="16" w:firstLineChars="8"/>
              <w:jc w:val="center"/>
              <w:textAlignment w:val="auto"/>
              <w:rPr>
                <w:rFonts w:hint="eastAsia" w:ascii="仿宋_GB2312" w:hAnsi="仿宋_GB2312" w:eastAsia="仿宋_GB2312" w:cs="仿宋_GB2312"/>
                <w:b w:val="0"/>
                <w:bCs w:val="0"/>
                <w:sz w:val="22"/>
                <w:szCs w:val="16"/>
              </w:rPr>
            </w:pPr>
            <w:r>
              <w:rPr>
                <w:rFonts w:hint="eastAsia" w:ascii="仿宋_GB2312" w:hAnsi="仿宋_GB2312" w:eastAsia="仿宋_GB2312" w:cs="仿宋_GB2312"/>
                <w:b w:val="0"/>
                <w:bCs w:val="0"/>
                <w:sz w:val="22"/>
                <w:szCs w:val="16"/>
              </w:rPr>
              <w:t>公园、停车库、文体活动中心、商业办公及配套设施</w:t>
            </w:r>
          </w:p>
        </w:tc>
        <w:tc>
          <w:tcPr>
            <w:tcW w:w="737" w:type="dxa"/>
            <w:vAlign w:val="center"/>
          </w:tcPr>
          <w:p>
            <w:pPr>
              <w:keepNext w:val="0"/>
              <w:keepLines w:val="0"/>
              <w:pageBreakBefore w:val="0"/>
              <w:widowControl w:val="0"/>
              <w:kinsoku/>
              <w:wordWrap/>
              <w:overflowPunct/>
              <w:topLinePunct w:val="0"/>
              <w:bidi w:val="0"/>
              <w:adjustRightInd w:val="0"/>
              <w:snapToGrid w:val="0"/>
              <w:spacing w:line="240" w:lineRule="exact"/>
              <w:ind w:firstLine="0" w:firstLineChars="0"/>
              <w:jc w:val="center"/>
              <w:textAlignment w:val="auto"/>
              <w:rPr>
                <w:rFonts w:hint="eastAsia" w:ascii="仿宋_GB2312" w:hAnsi="仿宋_GB2312" w:eastAsia="仿宋_GB2312" w:cs="仿宋_GB2312"/>
                <w:b w:val="0"/>
                <w:bCs w:val="0"/>
                <w:kern w:val="2"/>
                <w:sz w:val="22"/>
                <w:szCs w:val="16"/>
                <w:lang w:val="en-US" w:eastAsia="zh-CN" w:bidi="ar-SA"/>
              </w:rPr>
            </w:pPr>
            <w:r>
              <w:rPr>
                <w:rFonts w:hint="eastAsia" w:ascii="仿宋_GB2312" w:hAnsi="仿宋_GB2312" w:cs="仿宋_GB2312"/>
                <w:b w:val="0"/>
                <w:bCs w:val="0"/>
                <w:sz w:val="22"/>
                <w:szCs w:val="16"/>
                <w:lang w:val="en-US" w:eastAsia="zh-CN"/>
              </w:rPr>
              <w:t>15555.78</w:t>
            </w:r>
          </w:p>
        </w:tc>
        <w:tc>
          <w:tcPr>
            <w:tcW w:w="986" w:type="dxa"/>
            <w:vAlign w:val="center"/>
          </w:tcPr>
          <w:p>
            <w:pPr>
              <w:keepNext w:val="0"/>
              <w:keepLines w:val="0"/>
              <w:pageBreakBefore w:val="0"/>
              <w:widowControl w:val="0"/>
              <w:kinsoku/>
              <w:wordWrap/>
              <w:overflowPunct/>
              <w:topLinePunct w:val="0"/>
              <w:bidi w:val="0"/>
              <w:spacing w:line="240" w:lineRule="exact"/>
              <w:ind w:left="-15" w:leftChars="0" w:right="-149" w:rightChars="-49" w:firstLine="15" w:firstLineChars="7"/>
              <w:jc w:val="left"/>
              <w:textAlignment w:val="auto"/>
              <w:rPr>
                <w:rFonts w:hint="eastAsia" w:ascii="仿宋_GB2312" w:hAnsi="仿宋_GB2312" w:eastAsia="仿宋_GB2312" w:cs="仿宋_GB2312"/>
                <w:b w:val="0"/>
                <w:bCs w:val="0"/>
                <w:color w:val="000000"/>
                <w:sz w:val="22"/>
                <w:szCs w:val="16"/>
              </w:rPr>
            </w:pPr>
            <w:r>
              <w:rPr>
                <w:rFonts w:hint="eastAsia" w:ascii="仿宋_GB2312" w:hAnsi="仿宋_GB2312" w:eastAsia="仿宋_GB2312" w:cs="仿宋_GB2312"/>
                <w:b w:val="0"/>
                <w:bCs w:val="0"/>
                <w:color w:val="000000"/>
                <w:sz w:val="22"/>
                <w:szCs w:val="16"/>
              </w:rPr>
              <w:t>体育用地50年、商服用地40年、交通服务场站用地50年</w:t>
            </w:r>
          </w:p>
        </w:tc>
      </w:tr>
    </w:tbl>
    <w:p>
      <w:pPr>
        <w:pStyle w:val="2"/>
        <w:ind w:left="0" w:leftChars="0" w:firstLine="0" w:firstLineChars="0"/>
        <w:rPr>
          <w:rFonts w:hint="default"/>
          <w:lang w:val="en-US" w:eastAsia="zh-CN"/>
        </w:rPr>
      </w:pPr>
    </w:p>
    <w:p>
      <w:pPr>
        <w:pStyle w:val="2"/>
        <w:rPr>
          <w:rFonts w:hint="default"/>
          <w:lang w:val="en-US" w:eastAsia="zh-CN"/>
        </w:rPr>
      </w:pPr>
    </w:p>
    <w:p>
      <w:pPr>
        <w:pStyle w:val="2"/>
        <w:rPr>
          <w:rFonts w:hint="default"/>
          <w:lang w:val="en-US" w:eastAsia="zh-CN"/>
        </w:rPr>
        <w:sectPr>
          <w:footerReference r:id="rId3" w:type="default"/>
          <w:pgSz w:w="11906" w:h="16838"/>
          <w:pgMar w:top="1440" w:right="1474" w:bottom="1440" w:left="1587" w:header="851" w:footer="737" w:gutter="0"/>
          <w:pgNumType w:fmt="numberInDash"/>
          <w:cols w:space="0" w:num="1"/>
          <w:rtlGutter w:val="0"/>
          <w:docGrid w:type="linesAndChars" w:linePitch="436" w:charSpace="-3072"/>
        </w:sect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黑体" w:hAnsi="黑体" w:eastAsia="黑体" w:cs="黑体"/>
          <w:lang w:val="en-US" w:eastAsia="zh-CN"/>
        </w:rPr>
      </w:pPr>
    </w:p>
    <w:p>
      <w:pPr>
        <w:pStyle w:val="2"/>
        <w:rPr>
          <w:rFonts w:hint="default"/>
          <w:lang w:val="en-US" w:eastAsia="zh-CN"/>
        </w:rPr>
      </w:pPr>
    </w:p>
    <w:sectPr>
      <w:pgSz w:w="16838" w:h="11906" w:orient="landscape"/>
      <w:pgMar w:top="1587" w:right="1440" w:bottom="1474" w:left="1440" w:header="851" w:footer="737" w:gutter="0"/>
      <w:pgNumType w:fmt="numberInDash"/>
      <w:cols w:space="0" w:num="1"/>
      <w:rtlGutter w:val="0"/>
      <w:docGrid w:type="linesAndChars" w:linePitch="436"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ind w:left="0" w:leftChars="0" w:firstLine="0" w:firstLineChars="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HorizontalSpacing w:val="153"/>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72301"/>
    <w:rsid w:val="00C60885"/>
    <w:rsid w:val="018568A4"/>
    <w:rsid w:val="01BD4869"/>
    <w:rsid w:val="02766ADB"/>
    <w:rsid w:val="03212254"/>
    <w:rsid w:val="03627F64"/>
    <w:rsid w:val="03882E7C"/>
    <w:rsid w:val="03D45BC1"/>
    <w:rsid w:val="04075C58"/>
    <w:rsid w:val="045D7125"/>
    <w:rsid w:val="04D43625"/>
    <w:rsid w:val="061C0772"/>
    <w:rsid w:val="06BC2A67"/>
    <w:rsid w:val="07206541"/>
    <w:rsid w:val="080D758E"/>
    <w:rsid w:val="0946755E"/>
    <w:rsid w:val="09601526"/>
    <w:rsid w:val="0D2464B5"/>
    <w:rsid w:val="0D893286"/>
    <w:rsid w:val="11174FF7"/>
    <w:rsid w:val="113F5F42"/>
    <w:rsid w:val="1143145D"/>
    <w:rsid w:val="1194649A"/>
    <w:rsid w:val="11D853C4"/>
    <w:rsid w:val="14DB27BC"/>
    <w:rsid w:val="1797364A"/>
    <w:rsid w:val="18BD3D8B"/>
    <w:rsid w:val="1BF9481C"/>
    <w:rsid w:val="1C097061"/>
    <w:rsid w:val="1C6466C6"/>
    <w:rsid w:val="1CF16A9C"/>
    <w:rsid w:val="1D497F8F"/>
    <w:rsid w:val="1F315400"/>
    <w:rsid w:val="1FA42111"/>
    <w:rsid w:val="21072B5A"/>
    <w:rsid w:val="21A72AE3"/>
    <w:rsid w:val="220711E0"/>
    <w:rsid w:val="22FA6C0B"/>
    <w:rsid w:val="23177ABD"/>
    <w:rsid w:val="23D71069"/>
    <w:rsid w:val="242968F6"/>
    <w:rsid w:val="250704A9"/>
    <w:rsid w:val="25D02653"/>
    <w:rsid w:val="268353AF"/>
    <w:rsid w:val="280923E7"/>
    <w:rsid w:val="2A8E60B9"/>
    <w:rsid w:val="2B3616CA"/>
    <w:rsid w:val="2C107FF3"/>
    <w:rsid w:val="2CD87E99"/>
    <w:rsid w:val="2DD01233"/>
    <w:rsid w:val="2DDB2008"/>
    <w:rsid w:val="2DF971C0"/>
    <w:rsid w:val="2FE829D4"/>
    <w:rsid w:val="30C8471E"/>
    <w:rsid w:val="310F3A94"/>
    <w:rsid w:val="316F7559"/>
    <w:rsid w:val="31992AF0"/>
    <w:rsid w:val="31D77C3C"/>
    <w:rsid w:val="32326956"/>
    <w:rsid w:val="32566A18"/>
    <w:rsid w:val="33136636"/>
    <w:rsid w:val="34923739"/>
    <w:rsid w:val="34E918F9"/>
    <w:rsid w:val="352C3AE8"/>
    <w:rsid w:val="353811D8"/>
    <w:rsid w:val="353B25F0"/>
    <w:rsid w:val="35A366CD"/>
    <w:rsid w:val="37464121"/>
    <w:rsid w:val="37CC19BA"/>
    <w:rsid w:val="399D46A1"/>
    <w:rsid w:val="3B4E74E7"/>
    <w:rsid w:val="3B8076A6"/>
    <w:rsid w:val="3C9C10F0"/>
    <w:rsid w:val="3D221D77"/>
    <w:rsid w:val="3D49491F"/>
    <w:rsid w:val="3D5B4276"/>
    <w:rsid w:val="3D872301"/>
    <w:rsid w:val="3DF36E8A"/>
    <w:rsid w:val="3E2B7CDB"/>
    <w:rsid w:val="3EA80A80"/>
    <w:rsid w:val="3F542796"/>
    <w:rsid w:val="3F582F15"/>
    <w:rsid w:val="412616D0"/>
    <w:rsid w:val="41C02416"/>
    <w:rsid w:val="421E736F"/>
    <w:rsid w:val="423C1B4F"/>
    <w:rsid w:val="42EB4521"/>
    <w:rsid w:val="44195884"/>
    <w:rsid w:val="44BD52CA"/>
    <w:rsid w:val="45020E0D"/>
    <w:rsid w:val="45304C7D"/>
    <w:rsid w:val="46145DD8"/>
    <w:rsid w:val="46956E9B"/>
    <w:rsid w:val="475A01EE"/>
    <w:rsid w:val="47B567F9"/>
    <w:rsid w:val="481B0017"/>
    <w:rsid w:val="48551A64"/>
    <w:rsid w:val="4857347D"/>
    <w:rsid w:val="487C63C8"/>
    <w:rsid w:val="48B73A4A"/>
    <w:rsid w:val="48D32293"/>
    <w:rsid w:val="493A5487"/>
    <w:rsid w:val="4A375643"/>
    <w:rsid w:val="4DA51DA7"/>
    <w:rsid w:val="4ECE3331"/>
    <w:rsid w:val="4FBA3B1B"/>
    <w:rsid w:val="4FF43D43"/>
    <w:rsid w:val="50133AF1"/>
    <w:rsid w:val="51606B12"/>
    <w:rsid w:val="51863E31"/>
    <w:rsid w:val="5371161A"/>
    <w:rsid w:val="5385612D"/>
    <w:rsid w:val="548937B7"/>
    <w:rsid w:val="551951B2"/>
    <w:rsid w:val="552912AF"/>
    <w:rsid w:val="55706BDA"/>
    <w:rsid w:val="56AA7120"/>
    <w:rsid w:val="57585A9B"/>
    <w:rsid w:val="57FF3E46"/>
    <w:rsid w:val="58C918B8"/>
    <w:rsid w:val="59B31617"/>
    <w:rsid w:val="5B7046C3"/>
    <w:rsid w:val="5C087A71"/>
    <w:rsid w:val="5DBD27C3"/>
    <w:rsid w:val="5E157804"/>
    <w:rsid w:val="5E603124"/>
    <w:rsid w:val="5EDC409A"/>
    <w:rsid w:val="5F03050D"/>
    <w:rsid w:val="5F70021B"/>
    <w:rsid w:val="601F1B42"/>
    <w:rsid w:val="60A02554"/>
    <w:rsid w:val="61BC1293"/>
    <w:rsid w:val="62687B8A"/>
    <w:rsid w:val="631C00DA"/>
    <w:rsid w:val="63791045"/>
    <w:rsid w:val="657550C7"/>
    <w:rsid w:val="659A77F3"/>
    <w:rsid w:val="6603440F"/>
    <w:rsid w:val="673E1C59"/>
    <w:rsid w:val="68783B98"/>
    <w:rsid w:val="68884114"/>
    <w:rsid w:val="68D51EC8"/>
    <w:rsid w:val="6B487EE3"/>
    <w:rsid w:val="6B8972CE"/>
    <w:rsid w:val="6C6368C3"/>
    <w:rsid w:val="6CB17AED"/>
    <w:rsid w:val="6D6A6905"/>
    <w:rsid w:val="6DCD3746"/>
    <w:rsid w:val="6EDB23EE"/>
    <w:rsid w:val="6F953355"/>
    <w:rsid w:val="706412D0"/>
    <w:rsid w:val="70B57FAD"/>
    <w:rsid w:val="745C4FAC"/>
    <w:rsid w:val="74616C1E"/>
    <w:rsid w:val="74C92307"/>
    <w:rsid w:val="755E2206"/>
    <w:rsid w:val="75997F9E"/>
    <w:rsid w:val="75BA1F10"/>
    <w:rsid w:val="77C64378"/>
    <w:rsid w:val="77FD1265"/>
    <w:rsid w:val="788C147F"/>
    <w:rsid w:val="79E35305"/>
    <w:rsid w:val="7A472EE3"/>
    <w:rsid w:val="7A5A6899"/>
    <w:rsid w:val="7AC75D93"/>
    <w:rsid w:val="7B27321C"/>
    <w:rsid w:val="7B667497"/>
    <w:rsid w:val="7BB61CFB"/>
    <w:rsid w:val="7BF74CF0"/>
    <w:rsid w:val="7C2B14DB"/>
    <w:rsid w:val="7D134BD5"/>
    <w:rsid w:val="7E1304FC"/>
    <w:rsid w:val="7E1B1DC8"/>
    <w:rsid w:val="7F1C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52" w:firstLineChars="200"/>
      <w:jc w:val="both"/>
      <w:outlineLvl w:val="0"/>
    </w:pPr>
    <w:rPr>
      <w:rFonts w:ascii="Times New Roman" w:hAnsi="Times New Roman" w:eastAsia="黑体" w:cstheme="minorBidi"/>
      <w:kern w:val="44"/>
      <w:sz w:val="32"/>
      <w:szCs w:val="32"/>
    </w:rPr>
  </w:style>
  <w:style w:type="paragraph" w:styleId="4">
    <w:name w:val="heading 2"/>
    <w:next w:val="1"/>
    <w:unhideWhenUsed/>
    <w:qFormat/>
    <w:uiPriority w:val="0"/>
    <w:pPr>
      <w:keepNext/>
      <w:keepLines/>
      <w:spacing w:beforeLines="0" w:beforeAutospacing="0" w:afterLines="0" w:afterAutospacing="0" w:line="560" w:lineRule="exact"/>
      <w:ind w:firstLine="1632" w:firstLineChars="200"/>
      <w:jc w:val="both"/>
      <w:outlineLvl w:val="1"/>
    </w:pPr>
    <w:rPr>
      <w:rFonts w:ascii="Times New Roman" w:hAnsi="Times New Roman" w:eastAsia="楷体" w:cstheme="minorBidi"/>
      <w:sz w:val="32"/>
      <w:szCs w:val="32"/>
    </w:rPr>
  </w:style>
  <w:style w:type="paragraph" w:styleId="5">
    <w:name w:val="heading 3"/>
    <w:next w:val="1"/>
    <w:unhideWhenUsed/>
    <w:qFormat/>
    <w:uiPriority w:val="0"/>
    <w:pPr>
      <w:keepNext/>
      <w:keepLines/>
      <w:spacing w:beforeLines="0" w:beforeAutospacing="0" w:afterLines="0" w:afterAutospacing="0" w:line="560" w:lineRule="exact"/>
      <w:ind w:firstLine="1632" w:firstLineChars="200"/>
      <w:jc w:val="both"/>
      <w:outlineLvl w:val="2"/>
    </w:pPr>
    <w:rPr>
      <w:rFonts w:ascii="Times New Roman" w:hAnsi="Times New Roman" w:eastAsia="仿宋_GB2312" w:cstheme="minorBidi"/>
      <w:sz w:val="32"/>
      <w:szCs w:val="32"/>
    </w:rPr>
  </w:style>
  <w:style w:type="paragraph" w:styleId="6">
    <w:name w:val="heading 4"/>
    <w:next w:val="1"/>
    <w:unhideWhenUsed/>
    <w:qFormat/>
    <w:uiPriority w:val="0"/>
    <w:pPr>
      <w:keepNext/>
      <w:keepLines/>
      <w:spacing w:beforeLines="0" w:beforeAutospacing="0" w:afterLines="0" w:afterAutospacing="0" w:line="560" w:lineRule="exact"/>
      <w:ind w:firstLine="1632" w:firstLineChars="200"/>
      <w:jc w:val="both"/>
      <w:outlineLvl w:val="3"/>
    </w:pPr>
    <w:rPr>
      <w:rFonts w:ascii="Times New Roman" w:hAnsi="Times New Roman" w:eastAsia="仿宋_GB2312" w:cstheme="minorBidi"/>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customStyle="1" w:styleId="9">
    <w:name w:val="公文标题"/>
    <w:next w:val="1"/>
    <w:qFormat/>
    <w:uiPriority w:val="0"/>
    <w:pPr>
      <w:spacing w:line="700" w:lineRule="exact"/>
      <w:ind w:firstLine="0" w:firstLineChars="0"/>
      <w:jc w:val="center"/>
    </w:pPr>
    <w:rPr>
      <w:rFonts w:ascii="Calibri" w:hAnsi="Calibri" w:eastAsia="方正小标宋_GBK" w:cstheme="minorBidi"/>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Desktop\&#19994;&#21153;&#21150;&#29702;\2020&#24180;&#22303;&#22320;&#20379;&#24212;\&#39532;&#23433;&#20013;&#24515;&#21306;JD17-01&#22320;&#22359;\&#22996;&#25176;&#25346;&#29260;\&#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公文模板.dotx</Template>
  <Pages>1</Pages>
  <Words>137</Words>
  <Characters>137</Characters>
  <Lines>0</Lines>
  <Paragraphs>0</Paragraphs>
  <TotalTime>36</TotalTime>
  <ScaleCrop>false</ScaleCrop>
  <LinksUpToDate>false</LinksUpToDate>
  <CharactersWithSpaces>137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2020-04-28T08:38:00Z</dcterms:created>
  <dc:creator>市自然资源局</dc:creator>
  <cp:lastModifiedBy>黄春枚</cp:lastModifiedBy>
  <dcterms:modified xsi:type="dcterms:W3CDTF">2020-12-28T02:16:22Z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