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pStyle w:val="5"/>
        <w:keepNext w:val="0"/>
        <w:keepLines w:val="0"/>
        <w:widowControl/>
        <w:suppressLineNumbers w:val="0"/>
        <w:spacing w:line="525" w:lineRule="atLeast"/>
        <w:jc w:val="center"/>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惠公易土市直[2021]008号</w:t>
      </w:r>
    </w:p>
    <w:p>
      <w:pPr>
        <w:spacing w:line="520" w:lineRule="exact"/>
        <w:ind w:firstLine="360" w:firstLineChars="200"/>
        <w:rPr>
          <w:rFonts w:hint="eastAsia" w:ascii="仿宋_GB2312" w:eastAsia="仿宋_GB2312"/>
          <w:sz w:val="18"/>
          <w:szCs w:val="18"/>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w:t>
      </w:r>
      <w:r>
        <w:rPr>
          <w:rFonts w:hint="eastAsia" w:ascii="Times New Roman" w:hAnsi="Times New Roman" w:eastAsia="仿宋_GB2312" w:cs="Times New Roman"/>
          <w:sz w:val="32"/>
          <w:lang w:eastAsia="zh-CN"/>
        </w:rPr>
        <w:t>39</w:t>
      </w:r>
      <w:r>
        <w:rPr>
          <w:rFonts w:hint="eastAsia" w:ascii="仿宋_GB2312" w:hAnsi="仿宋_GB2312" w:eastAsia="仿宋_GB2312" w:cs="仿宋_GB2312"/>
          <w:sz w:val="32"/>
          <w:szCs w:val="32"/>
        </w:rPr>
        <w:t>号《招标拍卖挂牌出让国有建设用地使用权规定》和广东省人民政府令第</w:t>
      </w:r>
      <w:r>
        <w:rPr>
          <w:rFonts w:hint="eastAsia" w:ascii="Times New Roman" w:hAnsi="Times New Roman" w:eastAsia="仿宋_GB2312" w:cs="Times New Roman"/>
          <w:sz w:val="32"/>
          <w:lang w:eastAsia="zh-CN"/>
        </w:rPr>
        <w:t>79</w:t>
      </w:r>
      <w:r>
        <w:rPr>
          <w:rFonts w:hint="eastAsia" w:ascii="仿宋_GB2312" w:hAnsi="仿宋_GB2312" w:eastAsia="仿宋_GB2312" w:cs="仿宋_GB2312"/>
          <w:sz w:val="32"/>
          <w:szCs w:val="32"/>
        </w:rPr>
        <w:t>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w:t>
      </w:r>
      <w:r>
        <w:rPr>
          <w:rFonts w:hint="eastAsia" w:ascii="Times New Roman" w:hAnsi="Times New Roman" w:eastAsia="仿宋_GB2312" w:cs="Times New Roman"/>
          <w:sz w:val="32"/>
          <w:lang w:eastAsia="zh-CN"/>
        </w:rPr>
        <w:t>20</w:t>
      </w:r>
      <w:r>
        <w:rPr>
          <w:rFonts w:hint="eastAsia" w:ascii="Times New Roman" w:hAnsi="Times New Roman" w:eastAsia="仿宋_GB2312" w:cs="Times New Roman"/>
          <w:sz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w:t>
      </w:r>
      <w:r>
        <w:rPr>
          <w:rFonts w:hint="eastAsia" w:ascii="Times New Roman" w:hAnsi="Times New Roman" w:eastAsia="仿宋_GB2312" w:cs="Times New Roman"/>
          <w:sz w:val="32"/>
          <w:lang w:eastAsia="zh-CN"/>
        </w:rPr>
        <w:t>20</w:t>
      </w:r>
      <w:r>
        <w:rPr>
          <w:rFonts w:hint="eastAsia" w:ascii="Times New Roman" w:hAnsi="Times New Roman" w:eastAsia="仿宋_GB2312" w:cs="Times New Roman"/>
          <w:sz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Times New Roman" w:hAnsi="Times New Roman" w:eastAsia="仿宋_GB2312" w:cs="Times New Roman"/>
          <w:sz w:val="32"/>
          <w:lang w:val="en-US" w:eastAsia="zh-CN"/>
        </w:rPr>
        <w:t>46700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万元,每次报价加价幅度为人民币</w:t>
      </w:r>
      <w:r>
        <w:rPr>
          <w:rFonts w:hint="eastAsia" w:ascii="Times New Roman" w:hAnsi="Times New Roman" w:eastAsia="仿宋_GB2312" w:cs="Times New Roman"/>
          <w:sz w:val="32"/>
          <w:lang w:val="en-US" w:eastAsia="zh-CN"/>
        </w:rPr>
        <w:t>500</w:t>
      </w:r>
      <w:r>
        <w:rPr>
          <w:rFonts w:hint="eastAsia" w:ascii="仿宋_GB2312" w:hAnsi="仿宋_GB2312" w:eastAsia="仿宋_GB2312" w:cs="仿宋_GB2312"/>
          <w:sz w:val="32"/>
          <w:szCs w:val="32"/>
        </w:rPr>
        <w:t>万元的整数倍。</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w:t>
      </w:r>
      <w:r>
        <w:rPr>
          <w:rFonts w:hint="eastAsia" w:ascii="Times New Roman" w:hAnsi="Times New Roman" w:eastAsia="仿宋_GB2312" w:cs="Times New Roman"/>
          <w:kern w:val="2"/>
          <w:sz w:val="32"/>
          <w:szCs w:val="22"/>
          <w:lang w:val="en-US" w:eastAsia="zh-CN" w:bidi="ar-SA"/>
        </w:rPr>
        <w:t>2</w:t>
      </w:r>
      <w:r>
        <w:rPr>
          <w:rFonts w:hint="eastAsia" w:hAnsi="仿宋_GB2312" w:cs="仿宋_GB2312"/>
          <w:szCs w:val="32"/>
        </w:rPr>
        <w:t>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rPr>
        <w:t>（即竞得人必须是新公司的唯一股东）。</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w:t>
      </w:r>
      <w:r>
        <w:rPr>
          <w:rFonts w:hint="eastAsia" w:ascii="Times New Roman" w:hAnsi="Times New Roman" w:eastAsia="仿宋_GB2312" w:cs="Times New Roman"/>
          <w:kern w:val="2"/>
          <w:sz w:val="32"/>
          <w:szCs w:val="22"/>
          <w:lang w:val="en-US" w:eastAsia="zh-CN" w:bidi="ar-SA"/>
        </w:rPr>
        <w:t>2</w:t>
      </w:r>
      <w:r>
        <w:rPr>
          <w:rFonts w:hint="eastAsia" w:hAnsi="仿宋_GB2312" w:cs="仿宋_GB2312"/>
          <w:szCs w:val="32"/>
        </w:rPr>
        <w:t>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五、该宗地竞买保证金可用人民币及外币（暂限于美元、港币）支付。</w:t>
      </w:r>
    </w:p>
    <w:p>
      <w:pPr>
        <w:pStyle w:val="3"/>
        <w:keepNext w:val="0"/>
        <w:keepLines w:val="0"/>
        <w:pageBreakBefore w:val="0"/>
        <w:widowControl w:val="0"/>
        <w:kinsoku/>
        <w:wordWrap/>
        <w:overflowPunct/>
        <w:topLinePunct w:val="0"/>
        <w:bidi w:val="0"/>
        <w:spacing w:before="0" w:line="560" w:lineRule="exact"/>
        <w:jc w:val="both"/>
        <w:textAlignment w:val="auto"/>
        <w:rPr>
          <w:rFonts w:hAnsi="仿宋_GB2312" w:cs="仿宋_GB2312"/>
          <w:szCs w:val="32"/>
        </w:rPr>
      </w:pPr>
      <w:r>
        <w:rPr>
          <w:rFonts w:hint="eastAsia" w:hAnsi="仿宋_GB2312" w:cs="仿宋_GB2312"/>
          <w:szCs w:val="32"/>
        </w:rPr>
        <w:t>六、申请人应具备的其他条件：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ascii="Times New Roman" w:hAnsi="Times New Roman" w:eastAsia="仿宋_GB2312" w:cs="Times New Roman"/>
          <w:kern w:val="2"/>
          <w:sz w:val="32"/>
          <w:szCs w:val="22"/>
          <w:lang w:val="en-US" w:eastAsia="zh-CN" w:bidi="ar-SA"/>
        </w:rPr>
        <w:t>14010</w:t>
      </w:r>
      <w:r>
        <w:rPr>
          <w:rFonts w:hint="eastAsia" w:hAnsi="仿宋_GB2312" w:cs="仿宋_GB2312"/>
          <w:szCs w:val="32"/>
        </w:rPr>
        <w:t>万元人民币，如以外币缴交竞买保证金的，须缴交</w:t>
      </w:r>
      <w:r>
        <w:rPr>
          <w:rFonts w:hint="eastAsia" w:ascii="仿宋_GB2312" w:hAnsi="仿宋" w:eastAsia="仿宋_GB2312" w:cs="仿宋_GB2312"/>
          <w:color w:val="000000"/>
          <w:sz w:val="32"/>
          <w:szCs w:val="32"/>
        </w:rPr>
        <w:t>美元</w:t>
      </w:r>
      <w:r>
        <w:rPr>
          <w:rFonts w:hint="eastAsia" w:ascii="Times New Roman" w:hAnsi="Times New Roman" w:eastAsia="仿宋_GB2312" w:cs="Times New Roman"/>
          <w:kern w:val="2"/>
          <w:sz w:val="32"/>
          <w:szCs w:val="22"/>
          <w:lang w:val="en-US" w:eastAsia="zh-CN" w:bidi="ar-SA"/>
        </w:rPr>
        <w:t>2171</w:t>
      </w:r>
      <w:r>
        <w:rPr>
          <w:rFonts w:hint="eastAsia" w:ascii="仿宋_GB2312" w:hAnsi="仿宋" w:eastAsia="仿宋_GB2312" w:cs="仿宋_GB2312"/>
          <w:color w:val="000000"/>
          <w:sz w:val="32"/>
          <w:szCs w:val="32"/>
        </w:rPr>
        <w:t>万元</w:t>
      </w:r>
      <w:r>
        <w:rPr>
          <w:rFonts w:hint="eastAsia" w:hAnsi="仿宋" w:cs="仿宋_GB2312"/>
          <w:color w:val="000000"/>
          <w:sz w:val="32"/>
          <w:szCs w:val="32"/>
          <w:lang w:eastAsia="zh-CN"/>
        </w:rPr>
        <w:t>或</w:t>
      </w:r>
      <w:r>
        <w:rPr>
          <w:rFonts w:hint="eastAsia" w:ascii="仿宋_GB2312" w:hAnsi="仿宋" w:eastAsia="仿宋_GB2312" w:cs="仿宋_GB2312"/>
          <w:color w:val="000000"/>
          <w:sz w:val="32"/>
          <w:szCs w:val="32"/>
        </w:rPr>
        <w:t>港币</w:t>
      </w:r>
      <w:r>
        <w:rPr>
          <w:rFonts w:hint="eastAsia" w:ascii="Times New Roman" w:hAnsi="Times New Roman" w:eastAsia="仿宋_GB2312" w:cs="Times New Roman"/>
          <w:kern w:val="2"/>
          <w:sz w:val="32"/>
          <w:szCs w:val="22"/>
          <w:lang w:val="en-US" w:eastAsia="zh-CN" w:bidi="ar-SA"/>
        </w:rPr>
        <w:t>16830</w:t>
      </w:r>
      <w:r>
        <w:rPr>
          <w:rFonts w:hint="eastAsia" w:ascii="仿宋_GB2312" w:hAnsi="仿宋" w:eastAsia="仿宋_GB2312" w:cs="仿宋_GB2312"/>
          <w:color w:val="000000"/>
          <w:sz w:val="32"/>
          <w:szCs w:val="32"/>
        </w:rPr>
        <w:t>万元</w:t>
      </w:r>
      <w:r>
        <w:rPr>
          <w:rFonts w:hint="eastAsia" w:hAnsi="仿宋_GB2312" w:cs="仿宋_GB2312"/>
          <w:szCs w:val="32"/>
        </w:rPr>
        <w:t>。</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sz w:val="32"/>
          <w:szCs w:val="32"/>
        </w:rPr>
      </w:pPr>
      <w:r>
        <w:rPr>
          <w:rFonts w:hint="eastAsia" w:ascii="仿宋_GB2312" w:hAnsi="仿宋" w:eastAsia="仿宋_GB2312"/>
          <w:kern w:val="2"/>
          <w:sz w:val="32"/>
          <w:szCs w:val="32"/>
        </w:rPr>
        <w:t>（</w:t>
      </w:r>
      <w:r>
        <w:rPr>
          <w:rFonts w:hint="eastAsia" w:ascii="仿宋_GB2312" w:hAnsi="仿宋" w:eastAsia="仿宋_GB2312"/>
          <w:kern w:val="2"/>
          <w:sz w:val="32"/>
          <w:szCs w:val="32"/>
          <w:lang w:val="en-US" w:eastAsia="zh-CN"/>
        </w:rPr>
        <w:t>二</w:t>
      </w:r>
      <w:r>
        <w:rPr>
          <w:rFonts w:hint="eastAsia" w:ascii="仿宋_GB2312" w:hAnsi="仿宋" w:eastAsia="仿宋_GB2312"/>
          <w:kern w:val="2"/>
          <w:sz w:val="32"/>
          <w:szCs w:val="32"/>
        </w:rPr>
        <w:t>）</w:t>
      </w:r>
      <w:r>
        <w:rPr>
          <w:rFonts w:hint="eastAsia" w:ascii="仿宋_GB2312" w:hAnsi="仿宋" w:eastAsia="仿宋_GB2312"/>
          <w:sz w:val="3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1、</w:t>
      </w:r>
      <w:r>
        <w:rPr>
          <w:rFonts w:hint="eastAsia" w:hAnsi="仿宋_GB2312" w:cs="仿宋_GB2312"/>
          <w:szCs w:val="32"/>
        </w:rPr>
        <w:t>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2、</w:t>
      </w:r>
      <w:r>
        <w:rPr>
          <w:rFonts w:hint="eastAsia" w:hAnsi="仿宋_GB2312" w:cs="仿宋_GB2312"/>
          <w:szCs w:val="32"/>
        </w:rPr>
        <w:t>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3、</w:t>
      </w:r>
      <w:r>
        <w:rPr>
          <w:rFonts w:hint="eastAsia" w:hAnsi="仿宋_GB2312" w:cs="仿宋_GB2312"/>
          <w:szCs w:val="32"/>
        </w:rPr>
        <w:t>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4、</w:t>
      </w:r>
      <w:r>
        <w:rPr>
          <w:rFonts w:hint="eastAsia" w:hAnsi="仿宋_GB2312" w:cs="仿宋_GB2312"/>
          <w:szCs w:val="32"/>
        </w:rPr>
        <w:t>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5、</w:t>
      </w:r>
      <w:r>
        <w:rPr>
          <w:rFonts w:hint="eastAsia" w:hAnsi="仿宋_GB2312" w:cs="仿宋_GB2312"/>
          <w:szCs w:val="32"/>
        </w:rPr>
        <w:t>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6、</w:t>
      </w:r>
      <w:r>
        <w:rPr>
          <w:rFonts w:hint="eastAsia" w:hAnsi="仿宋_GB2312" w:cs="仿宋_GB2312"/>
          <w:szCs w:val="32"/>
        </w:rPr>
        <w:t>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7、</w:t>
      </w:r>
      <w:r>
        <w:rPr>
          <w:rFonts w:hint="eastAsia" w:hAnsi="仿宋_GB2312" w:cs="仿宋_GB2312"/>
          <w:szCs w:val="32"/>
        </w:rPr>
        <w:t>存在其它被禁止竞买土地行为的。</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ww.hzgtjy.com）。申请人可在网上挂牌交易系统下载挂牌出让公告、须知及相关交易文件，并按上述文件规定的操作程序在网上参加竞买。</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w:t>
      </w:r>
      <w:r>
        <w:rPr>
          <w:rFonts w:hint="eastAsia" w:ascii="Times New Roman" w:hAnsi="Times New Roman" w:eastAsia="仿宋_GB2312" w:cs="Times New Roman"/>
          <w:sz w:val="32"/>
          <w:lang w:eastAsia="zh-CN"/>
        </w:rPr>
        <w:t>20</w:t>
      </w:r>
      <w:r>
        <w:rPr>
          <w:rFonts w:hint="eastAsia" w:ascii="Times New Roman" w:hAnsi="Times New Roman" w:eastAsia="仿宋_GB2312" w:cs="Times New Roman"/>
          <w:sz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十二、竞得人签订《成交确认书》后，缴交的保证金中按成交价的</w:t>
      </w:r>
      <w:r>
        <w:rPr>
          <w:rFonts w:hint="eastAsia" w:ascii="Times New Roman" w:hAnsi="Times New Roman" w:eastAsia="仿宋_GB2312" w:cs="Times New Roman"/>
          <w:sz w:val="32"/>
          <w:lang w:eastAsia="zh-CN"/>
        </w:rPr>
        <w:t>10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以外币缴纳土地竞买保证金的，成交确认后，将在竞得人支付的外币保证金中扣除成交价款的</w:t>
      </w:r>
      <w:r>
        <w:rPr>
          <w:rFonts w:hint="eastAsia" w:ascii="Times New Roman" w:hAnsi="Times New Roman" w:eastAsia="仿宋_GB2312" w:cs="Times New Roman"/>
          <w:sz w:val="32"/>
          <w:lang w:eastAsia="zh-CN"/>
        </w:rPr>
        <w:t>10</w:t>
      </w:r>
      <w:r>
        <w:rPr>
          <w:rFonts w:hint="eastAsia" w:ascii="仿宋_GB2312" w:hAnsi="仿宋_GB2312" w:eastAsia="仿宋_GB2312" w:cs="仿宋_GB2312"/>
          <w:sz w:val="32"/>
          <w:szCs w:val="32"/>
        </w:rPr>
        <w:t>%（按成交当日汇率结汇）作为受让地块的定金，其余部分原路返回给竞得人，待竞得人按时缴清地价款后，再将定金退回。</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w:t>
      </w:r>
      <w:r>
        <w:rPr>
          <w:rFonts w:hint="eastAsia" w:ascii="Times New Roman" w:hAnsi="Times New Roman" w:eastAsia="仿宋_GB2312" w:cs="Times New Roman"/>
          <w:sz w:val="32"/>
          <w:lang w:eastAsia="zh-CN"/>
        </w:rPr>
        <w:t>10</w:t>
      </w:r>
      <w:r>
        <w:rPr>
          <w:rFonts w:hint="eastAsia" w:ascii="仿宋_GB2312" w:hAnsi="仿宋_GB2312" w:eastAsia="仿宋_GB2312" w:cs="仿宋_GB2312"/>
          <w:sz w:val="32"/>
          <w:szCs w:val="32"/>
        </w:rPr>
        <w:t>%的，不足部分由竞得人在签订《成交确认书》之日起</w:t>
      </w:r>
      <w:r>
        <w:rPr>
          <w:rFonts w:hint="eastAsia" w:ascii="Times New Roman" w:hAnsi="Times New Roman" w:eastAsia="仿宋_GB2312" w:cs="Times New Roman"/>
          <w:sz w:val="32"/>
          <w:lang w:eastAsia="zh-CN"/>
        </w:rPr>
        <w:t>5</w:t>
      </w:r>
      <w:r>
        <w:rPr>
          <w:rFonts w:hint="eastAsia" w:ascii="仿宋_GB2312" w:hAnsi="仿宋_GB2312" w:eastAsia="仿宋_GB2312" w:cs="仿宋_GB2312"/>
          <w:sz w:val="32"/>
          <w:szCs w:val="32"/>
        </w:rPr>
        <w:t>个工作日内付清。</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spacing w:line="560" w:lineRule="exact"/>
        <w:ind w:firstLine="640" w:firstLineChars="200"/>
        <w:rPr>
          <w:rFonts w:hint="default" w:ascii="仿宋_GB2312" w:hAnsi="仿宋" w:eastAsia="仿宋_GB2312" w:cs="Times New Roman"/>
          <w:kern w:val="2"/>
          <w:sz w:val="32"/>
          <w:szCs w:val="32"/>
          <w:lang w:val="en-US" w:eastAsia="zh-CN"/>
        </w:rPr>
      </w:pPr>
      <w:r>
        <w:rPr>
          <w:rFonts w:hint="eastAsia" w:ascii="仿宋_GB2312" w:hAnsi="仿宋_GB2312" w:eastAsia="仿宋_GB2312" w:cs="仿宋_GB2312"/>
          <w:sz w:val="32"/>
          <w:szCs w:val="32"/>
        </w:rPr>
        <w:t>（一）</w:t>
      </w:r>
      <w:r>
        <w:rPr>
          <w:rFonts w:eastAsia="仿宋_GB2312"/>
          <w:sz w:val="32"/>
          <w:szCs w:val="32"/>
        </w:rPr>
        <w:t>开发投资总额不少于</w:t>
      </w:r>
      <w:r>
        <w:rPr>
          <w:rFonts w:hint="eastAsia" w:ascii="Times New Roman" w:hAnsi="Times New Roman" w:eastAsia="仿宋_GB2312" w:cs="Times New Roman"/>
          <w:sz w:val="32"/>
          <w:lang w:val="en-US" w:eastAsia="zh-CN"/>
        </w:rPr>
        <w:t>71</w:t>
      </w:r>
      <w:r>
        <w:rPr>
          <w:rFonts w:hint="eastAsia" w:eastAsia="仿宋_GB2312" w:cs="Times New Roman"/>
          <w:sz w:val="32"/>
          <w:lang w:val="en-US" w:eastAsia="zh-CN"/>
        </w:rPr>
        <w:t>273</w:t>
      </w:r>
      <w:r>
        <w:rPr>
          <w:rFonts w:eastAsia="仿宋_GB2312"/>
          <w:sz w:val="32"/>
          <w:szCs w:val="32"/>
        </w:rPr>
        <w:t>万元（含地价,不含地价溢价部分）。</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w:t>
      </w:r>
      <w:r>
        <w:rPr>
          <w:rFonts w:hint="eastAsia" w:ascii="Times New Roman" w:hAnsi="Times New Roman" w:eastAsia="仿宋_GB2312" w:cs="Times New Roman"/>
          <w:sz w:val="32"/>
          <w:lang w:eastAsia="zh-CN"/>
        </w:rPr>
        <w:t>30</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keepNext w:val="0"/>
        <w:keepLines w:val="0"/>
        <w:pageBreakBefore w:val="0"/>
        <w:kinsoku/>
        <w:wordWrap/>
        <w:overflowPunct/>
        <w:topLinePunct w:val="0"/>
        <w:bidi w:val="0"/>
        <w:spacing w:line="560" w:lineRule="exact"/>
        <w:ind w:firstLine="640" w:firstLineChars="200"/>
        <w:textAlignment w:val="auto"/>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非建设用地范围内用地应遵循土地利用总体规划用途的原则，在调整为建设用地前禁止开发建设。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_GB2312"/>
          <w:color w:val="00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 w:eastAsia="仿宋_GB2312" w:cs="仿宋_GB2312"/>
          <w:color w:val="000000"/>
          <w:sz w:val="32"/>
          <w:szCs w:val="32"/>
        </w:rPr>
        <w:t>竞得人须配建总建筑面积不低于</w:t>
      </w:r>
      <w:r>
        <w:rPr>
          <w:rFonts w:hint="eastAsia" w:ascii="Times New Roman" w:hAnsi="Times New Roman" w:eastAsia="仿宋_GB2312" w:cs="Times New Roman"/>
          <w:sz w:val="32"/>
          <w:lang w:eastAsia="zh-CN"/>
        </w:rPr>
        <w:t>4100</w:t>
      </w:r>
      <w:r>
        <w:rPr>
          <w:rFonts w:hint="eastAsia" w:ascii="仿宋_GB2312" w:hAnsi="仿宋" w:eastAsia="仿宋_GB2312" w:cs="仿宋_GB2312"/>
          <w:color w:val="000000"/>
          <w:sz w:val="32"/>
          <w:szCs w:val="32"/>
        </w:rPr>
        <w:t>㎡的安置房并无偿移交政府，安置房套数、户型等详见安置房建设与移交协议。竞得人在竞得地块后须先与惠城区国有资产监督管理局签订安置房建设与移交协议后方可与市自然资源局签订《国有建设用地使用权出让合同》。</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rPr>
      </w:pPr>
      <w:r>
        <w:rPr>
          <w:rFonts w:hint="eastAsia" w:hAnsi="仿宋_GB2312" w:cs="仿宋_GB2312"/>
          <w:szCs w:val="32"/>
        </w:rPr>
        <w:t>（</w:t>
      </w:r>
      <w:r>
        <w:rPr>
          <w:rFonts w:hint="eastAsia" w:hAnsi="仿宋_GB2312" w:cs="仿宋_GB2312"/>
          <w:szCs w:val="32"/>
          <w:lang w:val="en-US" w:eastAsia="zh-CN"/>
        </w:rPr>
        <w:t>六</w:t>
      </w:r>
      <w:r>
        <w:rPr>
          <w:rFonts w:hint="eastAsia" w:hAnsi="仿宋_GB2312" w:cs="仿宋_GB2312"/>
          <w:szCs w:val="32"/>
        </w:rPr>
        <w:t>）竞得人在用地红线内开发建设必须符合城市规划要求，必须按《</w:t>
      </w:r>
      <w:r>
        <w:rPr>
          <w:rFonts w:hint="eastAsia" w:hAnsi="仿宋_GB2312" w:cs="仿宋_GB2312"/>
          <w:szCs w:val="32"/>
          <w:lang w:eastAsia="zh-CN"/>
        </w:rPr>
        <w:t>建设用地规划设计条件</w:t>
      </w:r>
      <w:r>
        <w:rPr>
          <w:rFonts w:hint="eastAsia" w:hAnsi="仿宋_GB2312" w:cs="仿宋_GB2312"/>
          <w:szCs w:val="32"/>
        </w:rPr>
        <w:t>》（案卷编号：</w:t>
      </w:r>
      <w:r>
        <w:rPr>
          <w:rFonts w:hint="eastAsia" w:ascii="Times New Roman" w:hAnsi="Times New Roman" w:eastAsia="仿宋_GB2312" w:cs="Times New Roman"/>
          <w:kern w:val="2"/>
          <w:sz w:val="32"/>
          <w:szCs w:val="22"/>
          <w:lang w:val="en-US" w:eastAsia="zh-CN" w:bidi="ar-SA"/>
        </w:rPr>
        <w:t>PB20210003</w:t>
      </w:r>
      <w:r>
        <w:rPr>
          <w:rFonts w:hint="eastAsia" w:hAnsi="仿宋_GB2312" w:cs="仿宋_GB2312"/>
          <w:szCs w:val="32"/>
        </w:rPr>
        <w:t>）规划控制指标要求及有关规定进行规划设计。</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sz w:val="32"/>
          <w:szCs w:val="32"/>
        </w:rPr>
        <w:t>不符合竞买资格条件的；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sz w:val="32"/>
          <w:szCs w:val="32"/>
        </w:rPr>
        <w:t>采取行贿、恶意串通等非法手段竞得的；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sz w:val="32"/>
          <w:szCs w:val="32"/>
        </w:rPr>
        <w:t>竞得人以其他非法手段竞得的；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sz w:val="32"/>
          <w:szCs w:val="32"/>
        </w:rPr>
        <w:t>竞得人逾期或拒绝签订《成交确认书》的；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5、</w:t>
      </w:r>
      <w:r>
        <w:rPr>
          <w:rFonts w:hint="eastAsia" w:ascii="仿宋_GB2312" w:hAnsi="仿宋_GB2312" w:eastAsia="仿宋_GB2312" w:cs="仿宋_GB2312"/>
          <w:sz w:val="32"/>
          <w:szCs w:val="32"/>
        </w:rPr>
        <w:t>竞得人逾期或拒绝签订《出让合同》的；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6、</w:t>
      </w:r>
      <w:r>
        <w:rPr>
          <w:rFonts w:hint="eastAsia" w:ascii="仿宋_GB2312" w:hAnsi="仿宋_GB2312" w:eastAsia="仿宋_GB2312" w:cs="仿宋_GB2312"/>
          <w:sz w:val="32"/>
          <w:szCs w:val="32"/>
        </w:rPr>
        <w:t>不按本须知规定提供有关纸质文件材料，或提供虚假文件材料、隐瞒重要事实，引起交易纠纷的；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7、</w:t>
      </w:r>
      <w:r>
        <w:rPr>
          <w:rFonts w:hint="eastAsia" w:ascii="仿宋_GB2312" w:hAnsi="仿宋_GB2312" w:eastAsia="仿宋_GB2312" w:cs="仿宋_GB2312"/>
          <w:sz w:val="32"/>
          <w:szCs w:val="32"/>
        </w:rPr>
        <w:t>构成违约责任的其他行为。</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）挂牌出让价款不含应由竞得人缴纳的契税、印花税等有关费用。</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rPr>
        <w:t>十四、</w:t>
      </w:r>
      <w:r>
        <w:rPr>
          <w:rFonts w:hint="eastAsia" w:ascii="仿宋_GB2312" w:hAnsi="仿宋_GB2312" w:eastAsia="仿宋_GB2312" w:cs="仿宋_GB2312"/>
          <w:sz w:val="32"/>
        </w:rPr>
        <w:t>该宗地</w:t>
      </w:r>
      <w:r>
        <w:rPr>
          <w:rFonts w:hint="eastAsia" w:ascii="仿宋_GB2312" w:hAnsi="仿宋_GB2312" w:eastAsia="仿宋_GB2312" w:cs="仿宋_GB2312"/>
          <w:sz w:val="32"/>
          <w:lang w:val="en-US" w:eastAsia="zh-CN"/>
        </w:rPr>
        <w:t>采</w:t>
      </w:r>
      <w:r>
        <w:rPr>
          <w:rFonts w:hint="eastAsia" w:ascii="仿宋_GB2312" w:hAnsi="仿宋_GB2312" w:eastAsia="仿宋_GB2312" w:cs="仿宋_GB2312"/>
          <w:sz w:val="32"/>
        </w:rPr>
        <w:t>用网上挂牌方式出让，交易全程适用《惠州市国有建设用地使用权和矿业权电子挂牌交易规则》（惠府〔</w:t>
      </w:r>
      <w:r>
        <w:rPr>
          <w:rFonts w:hint="eastAsia" w:ascii="Times New Roman" w:hAnsi="Times New Roman" w:eastAsia="仿宋_GB2312" w:cs="Times New Roman"/>
          <w:sz w:val="32"/>
          <w:lang w:eastAsia="zh-CN"/>
        </w:rPr>
        <w:t>2014</w:t>
      </w:r>
      <w:r>
        <w:rPr>
          <w:rFonts w:hint="eastAsia" w:ascii="仿宋_GB2312" w:hAnsi="仿宋_GB2312" w:eastAsia="仿宋_GB2312" w:cs="仿宋_GB2312"/>
          <w:sz w:val="32"/>
        </w:rPr>
        <w:t>〕</w:t>
      </w:r>
      <w:r>
        <w:rPr>
          <w:rFonts w:hint="eastAsia" w:ascii="Times New Roman" w:hAnsi="Times New Roman" w:eastAsia="仿宋_GB2312" w:cs="Times New Roman"/>
          <w:sz w:val="32"/>
          <w:lang w:eastAsia="zh-CN"/>
        </w:rPr>
        <w:t>167</w:t>
      </w:r>
      <w:r>
        <w:rPr>
          <w:rFonts w:hint="eastAsia" w:ascii="仿宋_GB2312" w:hAnsi="仿宋_GB2312" w:eastAsia="仿宋_GB2312" w:cs="仿宋_GB2312"/>
          <w:sz w:val="32"/>
        </w:rPr>
        <w:t>号）。</w:t>
      </w:r>
    </w:p>
    <w:p>
      <w:pPr>
        <w:spacing w:line="560" w:lineRule="exact"/>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kern w:val="2"/>
          <w:sz w:val="32"/>
          <w:szCs w:val="32"/>
          <w:lang w:val="en-US" w:eastAsia="zh-CN" w:bidi="ar-SA"/>
        </w:rPr>
        <w:t>十五、</w:t>
      </w:r>
      <w:r>
        <w:rPr>
          <w:rFonts w:hint="eastAsia" w:ascii="仿宋_GB2312" w:hAnsi="仿宋_GB2312" w:eastAsia="仿宋_GB2312" w:cs="仿宋_GB2312"/>
          <w:sz w:val="32"/>
          <w:szCs w:val="32"/>
        </w:rPr>
        <w:t>联系方式：</w:t>
      </w:r>
    </w:p>
    <w:p>
      <w:pPr>
        <w:tabs>
          <w:tab w:val="left" w:pos="720"/>
          <w:tab w:val="left" w:pos="4680"/>
        </w:tabs>
        <w:ind w:left="4318" w:leftChars="304" w:right="-756" w:rightChars="-360" w:hanging="3680" w:hangingChars="115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rPr>
        <w:t>广东省惠州市</w:t>
      </w:r>
      <w:r>
        <w:rPr>
          <w:rFonts w:hint="eastAsia" w:ascii="仿宋_GB2312" w:hAnsi="仿宋_GB2312" w:eastAsia="仿宋_GB2312" w:cs="仿宋_GB2312"/>
          <w:sz w:val="32"/>
          <w:lang w:val="en-US" w:eastAsia="zh-CN"/>
        </w:rPr>
        <w:t>惠城区三新北路</w:t>
      </w:r>
      <w:r>
        <w:rPr>
          <w:rFonts w:hint="eastAsia" w:ascii="Times New Roman" w:hAnsi="Times New Roman" w:eastAsia="仿宋_GB2312" w:cs="Times New Roman"/>
          <w:sz w:val="32"/>
          <w:lang w:val="en-US" w:eastAsia="zh-CN"/>
        </w:rPr>
        <w:t>31</w:t>
      </w:r>
      <w:r>
        <w:rPr>
          <w:rFonts w:hint="eastAsia" w:ascii="仿宋_GB2312" w:hAnsi="仿宋_GB2312" w:eastAsia="仿宋_GB2312" w:cs="仿宋_GB2312"/>
          <w:sz w:val="32"/>
          <w:lang w:val="en-US" w:eastAsia="zh-CN"/>
        </w:rPr>
        <w:t>号市民服务中心</w:t>
      </w:r>
    </w:p>
    <w:p>
      <w:pPr>
        <w:tabs>
          <w:tab w:val="left" w:pos="720"/>
          <w:tab w:val="left" w:pos="4680"/>
        </w:tabs>
        <w:ind w:right="-756" w:rightChars="-360"/>
        <w:rPr>
          <w:rFonts w:hint="eastAsia" w:ascii="仿宋_GB2312" w:hAnsi="仿宋_GB2312" w:eastAsia="仿宋_GB2312" w:cs="仿宋_GB2312"/>
          <w:sz w:val="32"/>
          <w:lang w:val="en-US" w:eastAsia="zh-CN"/>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sz w:val="32"/>
          <w:lang w:val="en-US" w:eastAsia="zh-CN"/>
        </w:rPr>
        <w:t>号楼一楼</w:t>
      </w:r>
      <w:r>
        <w:rPr>
          <w:rFonts w:hint="eastAsia" w:ascii="Times New Roman" w:hAnsi="Times New Roman" w:eastAsia="仿宋_GB2312" w:cs="Times New Roman"/>
          <w:sz w:val="32"/>
          <w:lang w:val="en-US" w:eastAsia="zh-CN"/>
        </w:rPr>
        <w:t>108</w:t>
      </w:r>
      <w:r>
        <w:rPr>
          <w:rFonts w:hint="eastAsia" w:ascii="仿宋_GB2312" w:hAnsi="仿宋_GB2312" w:eastAsia="仿宋_GB2312" w:cs="仿宋_GB2312"/>
          <w:sz w:val="32"/>
          <w:lang w:val="en-US" w:eastAsia="zh-CN"/>
        </w:rPr>
        <w:t>室</w:t>
      </w:r>
    </w:p>
    <w:p>
      <w:pPr>
        <w:keepNext w:val="0"/>
        <w:keepLines w:val="0"/>
        <w:pageBreakBefore w:val="0"/>
        <w:kinsoku/>
        <w:wordWrap/>
        <w:overflowPunct/>
        <w:topLinePunct w:val="0"/>
        <w:bidi w:val="0"/>
        <w:spacing w:line="560" w:lineRule="exact"/>
        <w:ind w:firstLine="555"/>
        <w:textAlignment w:val="auto"/>
        <w:rPr>
          <w:rFonts w:ascii="仿宋_GB2312" w:hAnsi="仿宋_GB2312" w:eastAsia="仿宋_GB2312" w:cs="仿宋_GB2312"/>
          <w:sz w:val="32"/>
        </w:rPr>
      </w:pPr>
      <w:r>
        <w:rPr>
          <w:rFonts w:hint="eastAsia" w:ascii="仿宋_GB2312" w:hAnsi="仿宋_GB2312" w:eastAsia="仿宋_GB2312" w:cs="仿宋_GB2312"/>
          <w:sz w:val="32"/>
          <w:szCs w:val="32"/>
        </w:rPr>
        <w:t>联系人：</w:t>
      </w:r>
      <w:r>
        <w:rPr>
          <w:rFonts w:ascii="仿宋_GB2312" w:hAnsi="仿宋_GB2312" w:eastAsia="仿宋_GB2312" w:cs="仿宋_GB2312"/>
          <w:sz w:val="32"/>
        </w:rPr>
        <w:t>袁小姐、黄小姐</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rPr>
        <w:t>（</w:t>
      </w:r>
      <w:r>
        <w:rPr>
          <w:rFonts w:hint="eastAsia" w:ascii="Times New Roman" w:hAnsi="Times New Roman" w:eastAsia="仿宋_GB2312" w:cs="Times New Roman"/>
          <w:sz w:val="32"/>
          <w:lang w:eastAsia="zh-CN"/>
        </w:rPr>
        <w:t>0752</w:t>
      </w:r>
      <w:r>
        <w:rPr>
          <w:rFonts w:hint="eastAsia" w:ascii="仿宋_GB2312" w:hAnsi="仿宋_GB2312" w:eastAsia="仿宋_GB2312" w:cs="仿宋_GB2312"/>
          <w:sz w:val="32"/>
        </w:rPr>
        <w:t>）</w:t>
      </w:r>
      <w:r>
        <w:rPr>
          <w:rFonts w:hint="eastAsia" w:ascii="Times New Roman" w:hAnsi="Times New Roman" w:eastAsia="仿宋_GB2312" w:cs="Times New Roman"/>
          <w:sz w:val="32"/>
          <w:lang w:eastAsia="zh-CN"/>
        </w:rPr>
        <w:t>7121026</w:t>
      </w:r>
      <w:r>
        <w:rPr>
          <w:rFonts w:hint="eastAsia" w:ascii="仿宋_GB2312" w:hAnsi="仿宋_GB2312" w:eastAsia="仿宋_GB2312" w:cs="仿宋_GB2312"/>
          <w:sz w:val="32"/>
        </w:rPr>
        <w:t>、</w:t>
      </w:r>
      <w:r>
        <w:rPr>
          <w:rFonts w:hint="eastAsia" w:ascii="Times New Roman" w:hAnsi="Times New Roman" w:eastAsia="仿宋_GB2312" w:cs="Times New Roman"/>
          <w:sz w:val="32"/>
          <w:lang w:eastAsia="zh-CN"/>
        </w:rPr>
        <w:t>7121042</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spacing w:line="520" w:lineRule="exact"/>
        <w:ind w:left="487" w:leftChars="232"/>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w:t>
      </w:r>
      <w:r>
        <w:rPr>
          <w:rFonts w:hint="eastAsia" w:ascii="Times New Roman" w:hAnsi="Times New Roman" w:eastAsia="仿宋_GB2312" w:cs="Times New Roman"/>
          <w:sz w:val="32"/>
          <w:lang w:eastAsia="zh-CN"/>
        </w:rPr>
        <w:t>18-22</w:t>
      </w:r>
      <w:r>
        <w:rPr>
          <w:rFonts w:hint="eastAsia" w:ascii="仿宋_GB2312" w:hAnsi="仿宋_GB2312" w:eastAsia="仿宋_GB2312" w:cs="仿宋_GB2312"/>
          <w:color w:val="000000"/>
          <w:sz w:val="32"/>
          <w:szCs w:val="32"/>
        </w:rPr>
        <w:t>房。</w:t>
      </w:r>
    </w:p>
    <w:p>
      <w:pPr>
        <w:spacing w:line="52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Times New Roman" w:hAnsi="Times New Roman" w:eastAsia="仿宋_GB2312" w:cs="Times New Roman"/>
          <w:sz w:val="32"/>
          <w:lang w:eastAsia="zh-CN"/>
        </w:rPr>
        <w:t>0752-2898481</w:t>
      </w:r>
    </w:p>
    <w:p>
      <w:pPr>
        <w:pStyle w:val="2"/>
        <w:ind w:left="0" w:leftChars="0" w:firstLine="0" w:firstLineChars="0"/>
        <w:rPr>
          <w:rFonts w:hint="eastAsia" w:ascii="仿宋_GB2312" w:hAnsi="仿宋_GB2312" w:eastAsia="仿宋_GB2312" w:cs="仿宋_GB2312"/>
          <w:sz w:val="32"/>
          <w:szCs w:val="32"/>
        </w:rPr>
      </w:pPr>
    </w:p>
    <w:p>
      <w:pPr>
        <w:spacing w:line="520" w:lineRule="exact"/>
        <w:ind w:right="640" w:firstLine="5033" w:firstLineChars="15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w:t>
      </w:r>
    </w:p>
    <w:p>
      <w:pPr>
        <w:spacing w:line="520" w:lineRule="exact"/>
        <w:ind w:right="640" w:firstLine="464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pStyle w:val="2"/>
        <w:ind w:firstLine="5120" w:firstLineChars="1600"/>
        <w:rPr>
          <w:rFonts w:hint="default" w:eastAsia="仿宋_GB2312"/>
          <w:lang w:val="en-US" w:eastAsia="zh-CN"/>
        </w:rPr>
      </w:pPr>
      <w:r>
        <w:rPr>
          <w:rFonts w:hint="eastAsia" w:ascii="仿宋_GB2312" w:hAnsi="仿宋_GB2312" w:eastAsia="仿宋_GB2312" w:cs="仿宋_GB2312"/>
          <w:sz w:val="32"/>
          <w:szCs w:val="32"/>
          <w:lang w:val="en-US" w:eastAsia="zh-CN"/>
        </w:rPr>
        <w:t>2021年3月12日</w:t>
      </w:r>
    </w:p>
    <w:p>
      <w:pPr>
        <w:spacing w:line="360" w:lineRule="auto"/>
        <w:rPr>
          <w:rFonts w:ascii="仿宋_GB2312" w:eastAsia="仿宋_GB2312"/>
          <w:sz w:val="32"/>
          <w:szCs w:val="32"/>
        </w:rPr>
        <w:sectPr>
          <w:footerReference r:id="rId3" w:type="default"/>
          <w:pgSz w:w="11906" w:h="16838"/>
          <w:pgMar w:top="1440" w:right="1440" w:bottom="1440" w:left="1440" w:header="851" w:footer="992" w:gutter="0"/>
          <w:pgNumType w:fmt="numberInDash" w:start="1"/>
          <w:cols w:space="720" w:num="1"/>
          <w:docGrid w:type="lines" w:linePitch="312" w:charSpace="0"/>
        </w:sectPr>
      </w:pP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329" w:type="dxa"/>
        <w:jc w:val="center"/>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14"/>
        <w:gridCol w:w="668"/>
        <w:gridCol w:w="528"/>
        <w:gridCol w:w="955"/>
        <w:gridCol w:w="707"/>
        <w:gridCol w:w="734"/>
        <w:gridCol w:w="586"/>
        <w:gridCol w:w="1122"/>
        <w:gridCol w:w="1296"/>
        <w:gridCol w:w="822"/>
        <w:gridCol w:w="982"/>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651"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1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68"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28"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95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249"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64"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651" w:type="dxa"/>
            <w:vMerge w:val="continue"/>
            <w:vAlign w:val="center"/>
          </w:tcPr>
          <w:p>
            <w:pPr>
              <w:adjustRightInd w:val="0"/>
              <w:snapToGrid w:val="0"/>
              <w:spacing w:line="320" w:lineRule="exact"/>
              <w:jc w:val="center"/>
              <w:rPr>
                <w:rFonts w:hint="eastAsia" w:ascii="仿宋_GB2312" w:eastAsia="仿宋_GB2312"/>
                <w:b/>
                <w:bCs/>
              </w:rPr>
            </w:pPr>
          </w:p>
        </w:tc>
        <w:tc>
          <w:tcPr>
            <w:tcW w:w="614" w:type="dxa"/>
            <w:vMerge w:val="continue"/>
            <w:vAlign w:val="center"/>
          </w:tcPr>
          <w:p>
            <w:pPr>
              <w:adjustRightInd w:val="0"/>
              <w:snapToGrid w:val="0"/>
              <w:spacing w:line="320" w:lineRule="exact"/>
              <w:jc w:val="center"/>
              <w:rPr>
                <w:rFonts w:hint="eastAsia" w:ascii="仿宋_GB2312" w:eastAsia="仿宋_GB2312"/>
                <w:b/>
                <w:bCs/>
              </w:rPr>
            </w:pPr>
          </w:p>
        </w:tc>
        <w:tc>
          <w:tcPr>
            <w:tcW w:w="668" w:type="dxa"/>
            <w:vMerge w:val="continue"/>
            <w:vAlign w:val="center"/>
          </w:tcPr>
          <w:p>
            <w:pPr>
              <w:adjustRightInd w:val="0"/>
              <w:snapToGrid w:val="0"/>
              <w:spacing w:line="320" w:lineRule="exact"/>
              <w:jc w:val="center"/>
              <w:rPr>
                <w:rFonts w:hint="eastAsia" w:ascii="仿宋_GB2312" w:eastAsia="仿宋_GB2312"/>
                <w:b/>
                <w:bCs/>
              </w:rPr>
            </w:pPr>
          </w:p>
        </w:tc>
        <w:tc>
          <w:tcPr>
            <w:tcW w:w="528" w:type="dxa"/>
            <w:vMerge w:val="continue"/>
            <w:vAlign w:val="center"/>
          </w:tcPr>
          <w:p>
            <w:pPr>
              <w:adjustRightInd w:val="0"/>
              <w:snapToGrid w:val="0"/>
              <w:spacing w:line="320" w:lineRule="exact"/>
              <w:jc w:val="center"/>
              <w:rPr>
                <w:rFonts w:hint="eastAsia" w:ascii="仿宋_GB2312" w:eastAsia="仿宋_GB2312"/>
                <w:b/>
                <w:bCs/>
              </w:rPr>
            </w:pPr>
          </w:p>
        </w:tc>
        <w:tc>
          <w:tcPr>
            <w:tcW w:w="955" w:type="dxa"/>
            <w:vMerge w:val="continue"/>
            <w:vAlign w:val="center"/>
          </w:tcPr>
          <w:p>
            <w:pPr>
              <w:adjustRightInd w:val="0"/>
              <w:snapToGrid w:val="0"/>
              <w:spacing w:line="320" w:lineRule="exact"/>
              <w:jc w:val="center"/>
              <w:rPr>
                <w:rFonts w:hint="eastAsia" w:ascii="仿宋_GB2312" w:eastAsia="仿宋_GB2312"/>
                <w:b/>
                <w:bCs/>
              </w:rPr>
            </w:pPr>
          </w:p>
        </w:tc>
        <w:tc>
          <w:tcPr>
            <w:tcW w:w="707"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34"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586"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122"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296"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822"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ascii="仿宋_GB2312" w:eastAsia="仿宋_GB2312"/>
                <w:b/>
                <w:bCs/>
              </w:rPr>
            </w:pPr>
            <w:r>
              <w:rPr>
                <w:rFonts w:hint="eastAsia" w:ascii="宋体" w:hAnsi="宋体" w:cs="宋体"/>
                <w:b/>
                <w:szCs w:val="21"/>
              </w:rPr>
              <w:t>（％）</w:t>
            </w:r>
          </w:p>
        </w:tc>
        <w:tc>
          <w:tcPr>
            <w:tcW w:w="982" w:type="dxa"/>
            <w:vAlign w:val="center"/>
          </w:tcPr>
          <w:p>
            <w:pPr>
              <w:spacing w:line="320" w:lineRule="exact"/>
              <w:ind w:left="44" w:right="-53" w:rightChars="-25" w:hanging="44" w:hangingChars="21"/>
              <w:jc w:val="center"/>
              <w:rPr>
                <w:rFonts w:hint="eastAsia"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hint="eastAsia" w:ascii="仿宋_GB2312" w:eastAsia="仿宋_GB2312"/>
                <w:b/>
                <w:bCs/>
              </w:rPr>
            </w:pPr>
          </w:p>
        </w:tc>
        <w:tc>
          <w:tcPr>
            <w:tcW w:w="664"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51"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GP2021-8</w:t>
            </w:r>
          </w:p>
        </w:tc>
        <w:tc>
          <w:tcPr>
            <w:tcW w:w="614"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惠州市惠城区小金口汤村TC04-03-04地块</w:t>
            </w:r>
          </w:p>
        </w:tc>
        <w:tc>
          <w:tcPr>
            <w:tcW w:w="668"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TC04-03-04</w:t>
            </w:r>
          </w:p>
        </w:tc>
        <w:tc>
          <w:tcPr>
            <w:tcW w:w="528" w:type="dxa"/>
            <w:tcMar>
              <w:left w:w="0" w:type="dxa"/>
              <w:right w:w="0" w:type="dxa"/>
            </w:tcMar>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住宅、商服用地</w:t>
            </w:r>
          </w:p>
        </w:tc>
        <w:tc>
          <w:tcPr>
            <w:tcW w:w="95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18340.44</w:t>
            </w:r>
          </w:p>
        </w:tc>
        <w:tc>
          <w:tcPr>
            <w:tcW w:w="707"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27302.92</w:t>
            </w:r>
          </w:p>
        </w:tc>
        <w:tc>
          <w:tcPr>
            <w:tcW w:w="734"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w:t>
            </w:r>
            <w:r>
              <w:rPr>
                <w:rFonts w:hint="default" w:ascii="仿宋_GB2312" w:eastAsia="仿宋_GB2312"/>
                <w:szCs w:val="21"/>
                <w:lang w:val="en-US" w:eastAsia="zh-CN"/>
              </w:rPr>
              <w:t>22</w:t>
            </w:r>
          </w:p>
        </w:tc>
        <w:tc>
          <w:tcPr>
            <w:tcW w:w="586"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≤3.0</w:t>
            </w:r>
          </w:p>
        </w:tc>
        <w:tc>
          <w:tcPr>
            <w:tcW w:w="1122"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≤81909</w:t>
            </w:r>
          </w:p>
        </w:tc>
        <w:tc>
          <w:tcPr>
            <w:tcW w:w="1296"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每100平方米计容积率建筑面积≥1个</w:t>
            </w:r>
          </w:p>
        </w:tc>
        <w:tc>
          <w:tcPr>
            <w:tcW w:w="822"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≥35</w:t>
            </w:r>
          </w:p>
        </w:tc>
        <w:tc>
          <w:tcPr>
            <w:tcW w:w="982"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住宅、商业、及配套设施</w:t>
            </w:r>
          </w:p>
        </w:tc>
        <w:tc>
          <w:tcPr>
            <w:tcW w:w="664"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住宅70年、商服40年</w:t>
            </w:r>
          </w:p>
        </w:tc>
      </w:tr>
    </w:tbl>
    <w:p>
      <w:pPr>
        <w:pStyle w:val="2"/>
        <w:rPr>
          <w:rFonts w:hint="eastAsia"/>
        </w:rPr>
      </w:pPr>
    </w:p>
    <w:p>
      <w:pPr>
        <w:spacing w:line="360" w:lineRule="auto"/>
        <w:rPr>
          <w:rFonts w:hint="eastAsia" w:ascii="仿宋_GB2312" w:eastAsia="仿宋_GB2312"/>
          <w:sz w:val="32"/>
          <w:szCs w:val="32"/>
        </w:rPr>
      </w:pPr>
    </w:p>
    <w:p>
      <w:pPr>
        <w:pStyle w:val="2"/>
        <w:rPr>
          <w:rFonts w:hint="eastAsia"/>
        </w:rPr>
      </w:pPr>
    </w:p>
    <w:p>
      <w:pPr>
        <w:tabs>
          <w:tab w:val="left" w:pos="11340"/>
        </w:tabs>
        <w:spacing w:line="60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- 9 -</w: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5423D"/>
    <w:rsid w:val="06692C02"/>
    <w:rsid w:val="11E153D1"/>
    <w:rsid w:val="26B51634"/>
    <w:rsid w:val="2EEF2AAC"/>
    <w:rsid w:val="53613F26"/>
    <w:rsid w:val="5FA604E9"/>
    <w:rsid w:val="60BD69A6"/>
    <w:rsid w:val="63C73BE0"/>
    <w:rsid w:val="689C7788"/>
    <w:rsid w:val="6B65423D"/>
    <w:rsid w:val="6BEE4AAC"/>
    <w:rsid w:val="6E7023B7"/>
    <w:rsid w:val="77F6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2021-03-09T08:53:00Z</dcterms:created>
  <dc:creator>袁秀玲</dc:creator>
  <cp:lastModifiedBy>袁秀玲</cp:lastModifiedBy>
  <cp:lastPrinted>2021-03-10T01:41:00Z</cp:lastPrinted>
  <dcterms:modified xsi:type="dcterms:W3CDTF">2021-03-12T07:21:07Z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