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18"/>
          <w:szCs w:val="18"/>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号</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203900</w:t>
      </w:r>
      <w:r>
        <w:rPr>
          <w:rFonts w:hint="eastAsia" w:ascii="仿宋_GB2312" w:hAnsi="仿宋_GB2312" w:eastAsia="仿宋_GB2312" w:cs="仿宋_GB2312"/>
          <w:sz w:val="32"/>
          <w:szCs w:val="32"/>
        </w:rPr>
        <w:t>万元,每次报价加价幅度为人民币10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keepNext w:val="0"/>
        <w:keepLines w:val="0"/>
        <w:pageBreakBefore w:val="0"/>
        <w:widowControl w:val="0"/>
        <w:kinsoku/>
        <w:wordWrap/>
        <w:overflowPunct/>
        <w:topLinePunct w:val="0"/>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40780</w:t>
      </w:r>
      <w:r>
        <w:rPr>
          <w:rFonts w:hint="eastAsia" w:hAnsi="仿宋_GB2312" w:cs="仿宋_GB2312"/>
          <w:szCs w:val="32"/>
        </w:rPr>
        <w:t>万元人民币，如以外币缴交竞买保证金的，须缴交美元</w:t>
      </w:r>
      <w:r>
        <w:rPr>
          <w:rFonts w:hint="eastAsia" w:hAnsi="仿宋_GB2312" w:cs="仿宋_GB2312"/>
          <w:szCs w:val="32"/>
          <w:lang w:val="en-US" w:eastAsia="zh-CN"/>
        </w:rPr>
        <w:t>5772</w:t>
      </w:r>
      <w:r>
        <w:rPr>
          <w:rFonts w:hint="eastAsia" w:hAnsi="仿宋_GB2312" w:cs="仿宋_GB2312"/>
          <w:szCs w:val="32"/>
        </w:rPr>
        <w:t>万元或港币</w:t>
      </w:r>
      <w:r>
        <w:rPr>
          <w:rFonts w:hint="eastAsia" w:hAnsi="仿宋_GB2312" w:cs="仿宋_GB2312"/>
          <w:szCs w:val="32"/>
          <w:lang w:val="en-US" w:eastAsia="zh-CN"/>
        </w:rPr>
        <w:t>44736</w:t>
      </w:r>
      <w:r>
        <w:rPr>
          <w:rFonts w:hint="eastAsia" w:hAnsi="仿宋_GB2312" w:cs="仿宋_GB2312"/>
          <w:szCs w:val="32"/>
        </w:rPr>
        <w:t>万元。</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（二）竞得人在用地红线内开发建设必须符合城市规划要求，必须按《告知书》（案卷编号：</w:t>
      </w:r>
      <w:r>
        <w:rPr>
          <w:rFonts w:hint="eastAsia" w:hAnsi="仿宋"/>
          <w:kern w:val="2"/>
          <w:szCs w:val="32"/>
        </w:rPr>
        <w:t>PB20</w:t>
      </w:r>
      <w:r>
        <w:rPr>
          <w:rFonts w:hint="eastAsia" w:hAnsi="仿宋"/>
          <w:kern w:val="2"/>
          <w:szCs w:val="32"/>
          <w:lang w:val="en-US" w:eastAsia="zh-CN"/>
        </w:rPr>
        <w:t>200012</w:t>
      </w:r>
      <w:r>
        <w:rPr>
          <w:rFonts w:hint="eastAsia" w:hAnsi="仿宋_GB2312" w:cs="仿宋_GB2312"/>
          <w:szCs w:val="32"/>
        </w:rPr>
        <w:t>）规划控制指标要求及有关规定进行规划设计。</w:t>
      </w:r>
    </w:p>
    <w:p>
      <w:pPr>
        <w:keepNext w:val="0"/>
        <w:keepLines w:val="0"/>
        <w:pageBreakBefore w:val="0"/>
        <w:kinsoku/>
        <w:wordWrap/>
        <w:overflowPunct/>
        <w:topLinePunct w:val="0"/>
        <w:bidi w:val="0"/>
        <w:spacing w:line="560" w:lineRule="exact"/>
        <w:ind w:firstLine="627" w:firstLineChars="196"/>
        <w:jc w:val="both"/>
        <w:textAlignment w:val="auto"/>
        <w:rPr>
          <w:rFonts w:hint="eastAsia" w:ascii="仿宋_GB2312" w:hAnsi="仿宋" w:eastAsia="仿宋_GB2312"/>
          <w:kern w:val="2"/>
          <w:sz w:val="32"/>
          <w:szCs w:val="32"/>
          <w:lang w:eastAsia="zh-CN"/>
        </w:rPr>
      </w:pPr>
      <w:r>
        <w:rPr>
          <w:rFonts w:hint="eastAsia" w:ascii="仿宋_GB2312" w:hAnsi="仿宋" w:eastAsia="仿宋_GB2312"/>
          <w:kern w:val="2"/>
          <w:sz w:val="32"/>
          <w:szCs w:val="32"/>
        </w:rPr>
        <w:t>（三）取得LJL38-11-01土地使用权者负责地块内的密路网（包括雨水管和污水管）建设，建成后无偿交给市政工程行政主管部门管理，并开放给公众使用</w:t>
      </w:r>
      <w:r>
        <w:rPr>
          <w:rFonts w:hint="eastAsia" w:ascii="仿宋_GB2312" w:hAnsi="仿宋" w:eastAsia="仿宋_GB2312"/>
          <w:kern w:val="2"/>
          <w:sz w:val="32"/>
          <w:szCs w:val="32"/>
          <w:lang w:eastAsia="zh-CN"/>
        </w:rPr>
        <w:t>。</w:t>
      </w:r>
    </w:p>
    <w:p>
      <w:pPr>
        <w:keepNext w:val="0"/>
        <w:keepLines w:val="0"/>
        <w:pageBreakBefore w:val="0"/>
        <w:kinsoku/>
        <w:wordWrap/>
        <w:overflowPunct/>
        <w:topLinePunct w:val="0"/>
        <w:bidi w:val="0"/>
        <w:spacing w:line="560" w:lineRule="exact"/>
        <w:ind w:firstLine="627" w:firstLineChars="196"/>
        <w:jc w:val="both"/>
        <w:textAlignment w:val="auto"/>
        <w:rPr>
          <w:rFonts w:hint="eastAsia" w:ascii="仿宋_GB2312" w:hAnsi="仿宋" w:eastAsia="仿宋_GB2312"/>
          <w:kern w:val="2"/>
          <w:sz w:val="32"/>
          <w:szCs w:val="32"/>
          <w:lang w:eastAsia="zh-CN"/>
        </w:rPr>
      </w:pP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四</w:t>
      </w:r>
      <w:r>
        <w:rPr>
          <w:rFonts w:hint="eastAsia" w:ascii="仿宋_GB2312" w:hAnsi="仿宋" w:eastAsia="仿宋_GB2312"/>
          <w:kern w:val="2"/>
          <w:sz w:val="32"/>
          <w:szCs w:val="32"/>
        </w:rPr>
        <w:t>）LJL-38-11</w:t>
      </w:r>
      <w:r>
        <w:rPr>
          <w:rFonts w:hint="eastAsia" w:ascii="仿宋_GB2312" w:hAnsi="仿宋" w:eastAsia="仿宋_GB2312"/>
          <w:kern w:val="2"/>
          <w:sz w:val="32"/>
          <w:szCs w:val="32"/>
          <w:lang w:val="en-US" w:eastAsia="zh-CN"/>
        </w:rPr>
        <w:t>-01</w:t>
      </w:r>
      <w:r>
        <w:rPr>
          <w:rFonts w:hint="eastAsia" w:ascii="仿宋_GB2312" w:hAnsi="仿宋" w:eastAsia="仿宋_GB2312"/>
          <w:kern w:val="2"/>
          <w:sz w:val="32"/>
          <w:szCs w:val="32"/>
        </w:rPr>
        <w:t>地块内的配套幼儿园用地，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r>
        <w:rPr>
          <w:rFonts w:hint="eastAsia" w:ascii="仿宋_GB2312" w:hAnsi="仿宋" w:eastAsia="仿宋_GB2312"/>
          <w:kern w:val="2"/>
          <w:sz w:val="32"/>
          <w:szCs w:val="32"/>
          <w:lang w:eastAsia="zh-CN"/>
        </w:rPr>
        <w:t>。</w:t>
      </w:r>
    </w:p>
    <w:p>
      <w:pPr>
        <w:keepNext w:val="0"/>
        <w:keepLines w:val="0"/>
        <w:pageBreakBefore w:val="0"/>
        <w:kinsoku/>
        <w:wordWrap/>
        <w:overflowPunct/>
        <w:topLinePunct w:val="0"/>
        <w:bidi w:val="0"/>
        <w:spacing w:line="560" w:lineRule="exact"/>
        <w:ind w:firstLine="627" w:firstLineChars="196"/>
        <w:jc w:val="both"/>
        <w:textAlignment w:val="auto"/>
        <w:rPr>
          <w:rFonts w:hint="eastAsia" w:ascii="仿宋_GB2312" w:hAnsi="仿宋" w:eastAsia="仿宋_GB2312"/>
          <w:kern w:val="2"/>
          <w:sz w:val="32"/>
          <w:szCs w:val="32"/>
        </w:rPr>
      </w:pP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五</w:t>
      </w:r>
      <w:r>
        <w:rPr>
          <w:rFonts w:hint="eastAsia" w:ascii="仿宋_GB2312" w:hAnsi="仿宋" w:eastAsia="仿宋_GB2312"/>
          <w:kern w:val="2"/>
          <w:sz w:val="32"/>
          <w:szCs w:val="32"/>
        </w:rPr>
        <w:t>）LJL-38-11</w:t>
      </w:r>
      <w:r>
        <w:rPr>
          <w:rFonts w:hint="eastAsia" w:ascii="仿宋_GB2312" w:hAnsi="仿宋" w:eastAsia="仿宋_GB2312"/>
          <w:kern w:val="2"/>
          <w:sz w:val="32"/>
          <w:szCs w:val="32"/>
          <w:lang w:val="en-US" w:eastAsia="zh-CN"/>
        </w:rPr>
        <w:t>-01</w:t>
      </w:r>
      <w:r>
        <w:rPr>
          <w:rFonts w:hint="eastAsia" w:ascii="仿宋_GB2312" w:hAnsi="仿宋" w:eastAsia="仿宋_GB2312"/>
          <w:kern w:val="2"/>
          <w:sz w:val="32"/>
          <w:szCs w:val="32"/>
        </w:rPr>
        <w:t>地块中部建筑红线外的用地，属于非建设用地，应遵循保持原有土地利用规划用途的原则，用于绿化美化环境，并作为公共开敞空间。</w:t>
      </w:r>
    </w:p>
    <w:p>
      <w:pPr>
        <w:keepNext w:val="0"/>
        <w:keepLines w:val="0"/>
        <w:pageBreakBefore w:val="0"/>
        <w:kinsoku/>
        <w:wordWrap/>
        <w:overflowPunct/>
        <w:topLinePunct w:val="0"/>
        <w:autoSpaceDE w:val="0"/>
        <w:autoSpaceDN w:val="0"/>
        <w:bidi w:val="0"/>
        <w:spacing w:line="560" w:lineRule="exact"/>
        <w:ind w:firstLine="630"/>
        <w:jc w:val="both"/>
        <w:textAlignment w:val="auto"/>
        <w:rPr>
          <w:rFonts w:hint="eastAsia" w:ascii="仿宋_GB2312" w:hAnsi="仿宋" w:eastAsia="仿宋_GB2312"/>
          <w:sz w:val="32"/>
          <w:szCs w:val="32"/>
        </w:rPr>
      </w:pP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六</w:t>
      </w:r>
      <w:r>
        <w:rPr>
          <w:rFonts w:hint="eastAsia" w:ascii="仿宋_GB2312" w:hAnsi="仿宋" w:eastAsia="仿宋_GB2312"/>
          <w:kern w:val="2"/>
          <w:sz w:val="32"/>
          <w:szCs w:val="32"/>
        </w:rPr>
        <w:t>）取得LJL-38-11</w:t>
      </w:r>
      <w:r>
        <w:rPr>
          <w:rFonts w:hint="eastAsia" w:ascii="仿宋_GB2312" w:hAnsi="仿宋" w:eastAsia="仿宋_GB2312"/>
          <w:kern w:val="2"/>
          <w:sz w:val="32"/>
          <w:szCs w:val="32"/>
          <w:lang w:val="en-US" w:eastAsia="zh-CN"/>
        </w:rPr>
        <w:t>-01</w:t>
      </w:r>
      <w:r>
        <w:rPr>
          <w:rFonts w:hint="eastAsia" w:ascii="仿宋_GB2312" w:hAnsi="仿宋" w:eastAsia="仿宋_GB2312"/>
          <w:kern w:val="2"/>
          <w:sz w:val="32"/>
          <w:szCs w:val="32"/>
        </w:rPr>
        <w:t>土地使用权人应按照《规划设计条件告知书》的规划要求配建相关的配套设施。</w:t>
      </w:r>
    </w:p>
    <w:p>
      <w:pPr>
        <w:keepNext w:val="0"/>
        <w:keepLines w:val="0"/>
        <w:pageBreakBefore w:val="0"/>
        <w:widowControl/>
        <w:kinsoku/>
        <w:wordWrap/>
        <w:overflowPunct/>
        <w:topLinePunct w:val="0"/>
        <w:bidi w:val="0"/>
        <w:spacing w:line="560" w:lineRule="exact"/>
        <w:ind w:firstLine="618"/>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七</w:t>
      </w:r>
      <w:r>
        <w:rPr>
          <w:rFonts w:hint="eastAsia" w:ascii="仿宋_GB2312" w:hAnsi="仿宋" w:eastAsia="仿宋_GB2312"/>
          <w:sz w:val="32"/>
          <w:szCs w:val="32"/>
        </w:rPr>
        <w:t>）存在下列违法违规违约行为之一的企业及其控股股东，不得参与竞买上述地块：</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1、存在伪造公文骗取用地和非法倒卖土地等犯罪行为的；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2、存在非法转让土地使用权等违法行为的；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5、至报名日止仍拖欠政府地价款的;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6、被列入问题楼盘开发企业黑名单的;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7、存在其它被禁止竞买土地行为的。</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326940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联系地址：广东省惠州市江北文华一路2号大隆大厦6楼</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袁小姐、黄小姐</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0752）7121026、7121042</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sz w:val="32"/>
          <w:szCs w:val="32"/>
          <w:lang w:val="en-US" w:eastAsia="zh-CN"/>
        </w:rPr>
        <w:t>2020年4月29日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55"/>
        <w:gridCol w:w="531"/>
        <w:gridCol w:w="624"/>
        <w:gridCol w:w="924"/>
        <w:gridCol w:w="1020"/>
        <w:gridCol w:w="734"/>
        <w:gridCol w:w="586"/>
        <w:gridCol w:w="1506"/>
        <w:gridCol w:w="1092"/>
        <w:gridCol w:w="642"/>
        <w:gridCol w:w="118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2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5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531"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24"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2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762"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20" w:type="dxa"/>
            <w:vMerge w:val="continue"/>
            <w:vAlign w:val="center"/>
          </w:tcPr>
          <w:p>
            <w:pPr>
              <w:adjustRightInd w:val="0"/>
              <w:snapToGrid w:val="0"/>
              <w:spacing w:line="320" w:lineRule="exact"/>
              <w:jc w:val="center"/>
              <w:rPr>
                <w:rFonts w:hint="eastAsia" w:ascii="仿宋_GB2312" w:eastAsia="仿宋_GB2312"/>
                <w:b/>
                <w:bCs/>
              </w:rPr>
            </w:pPr>
          </w:p>
        </w:tc>
        <w:tc>
          <w:tcPr>
            <w:tcW w:w="555" w:type="dxa"/>
            <w:vMerge w:val="continue"/>
            <w:vAlign w:val="center"/>
          </w:tcPr>
          <w:p>
            <w:pPr>
              <w:adjustRightInd w:val="0"/>
              <w:snapToGrid w:val="0"/>
              <w:spacing w:line="320" w:lineRule="exact"/>
              <w:jc w:val="center"/>
              <w:rPr>
                <w:rFonts w:hint="eastAsia" w:ascii="仿宋_GB2312" w:eastAsia="仿宋_GB2312"/>
                <w:b/>
                <w:bCs/>
              </w:rPr>
            </w:pPr>
          </w:p>
        </w:tc>
        <w:tc>
          <w:tcPr>
            <w:tcW w:w="531" w:type="dxa"/>
            <w:vMerge w:val="continue"/>
            <w:vAlign w:val="center"/>
          </w:tcPr>
          <w:p>
            <w:pPr>
              <w:adjustRightInd w:val="0"/>
              <w:snapToGrid w:val="0"/>
              <w:spacing w:line="320" w:lineRule="exact"/>
              <w:jc w:val="center"/>
              <w:rPr>
                <w:rFonts w:hint="eastAsia" w:ascii="仿宋_GB2312" w:eastAsia="仿宋_GB2312"/>
                <w:b/>
                <w:bCs/>
              </w:rPr>
            </w:pPr>
          </w:p>
        </w:tc>
        <w:tc>
          <w:tcPr>
            <w:tcW w:w="624" w:type="dxa"/>
            <w:vMerge w:val="continue"/>
            <w:vAlign w:val="center"/>
          </w:tcPr>
          <w:p>
            <w:pPr>
              <w:adjustRightInd w:val="0"/>
              <w:snapToGrid w:val="0"/>
              <w:spacing w:line="320" w:lineRule="exact"/>
              <w:jc w:val="center"/>
              <w:rPr>
                <w:rFonts w:hint="eastAsia" w:ascii="仿宋_GB2312" w:eastAsia="仿宋_GB2312"/>
                <w:b/>
                <w:bCs/>
              </w:rPr>
            </w:pPr>
          </w:p>
        </w:tc>
        <w:tc>
          <w:tcPr>
            <w:tcW w:w="924" w:type="dxa"/>
            <w:vMerge w:val="continue"/>
            <w:vAlign w:val="center"/>
          </w:tcPr>
          <w:p>
            <w:pPr>
              <w:adjustRightInd w:val="0"/>
              <w:snapToGrid w:val="0"/>
              <w:spacing w:line="320" w:lineRule="exact"/>
              <w:jc w:val="center"/>
              <w:rPr>
                <w:rFonts w:hint="eastAsia" w:ascii="仿宋_GB2312" w:eastAsia="仿宋_GB2312"/>
                <w:b/>
                <w:bCs/>
              </w:rPr>
            </w:pPr>
          </w:p>
        </w:tc>
        <w:tc>
          <w:tcPr>
            <w:tcW w:w="1020"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34"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586"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506"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92"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642"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1182"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8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20"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GP2020-12</w:t>
            </w:r>
            <w:bookmarkStart w:id="0" w:name="_GoBack"/>
            <w:bookmarkEnd w:id="0"/>
          </w:p>
        </w:tc>
        <w:tc>
          <w:tcPr>
            <w:tcW w:w="555" w:type="dxa"/>
            <w:vAlign w:val="center"/>
          </w:tcPr>
          <w:p>
            <w:pPr>
              <w:jc w:val="center"/>
              <w:rPr>
                <w:rFonts w:hint="eastAsia" w:ascii="仿宋_GB2312" w:hAnsi="Times New Roman" w:eastAsia="仿宋_GB2312"/>
                <w:szCs w:val="21"/>
              </w:rPr>
            </w:pPr>
            <w:r>
              <w:rPr>
                <w:rFonts w:hint="eastAsia" w:ascii="仿宋_GB2312" w:eastAsia="仿宋_GB2312"/>
                <w:szCs w:val="21"/>
                <w:lang w:val="en-US" w:eastAsia="zh-CN"/>
              </w:rPr>
              <w:t>惠州市惠城区</w:t>
            </w:r>
            <w:r>
              <w:rPr>
                <w:rFonts w:hint="eastAsia" w:ascii="仿宋_GB2312" w:hAnsi="Times New Roman" w:eastAsia="仿宋_GB2312"/>
                <w:szCs w:val="21"/>
              </w:rPr>
              <w:t>鹿江沥南岸</w:t>
            </w:r>
          </w:p>
        </w:tc>
        <w:tc>
          <w:tcPr>
            <w:tcW w:w="531" w:type="dxa"/>
            <w:vAlign w:val="center"/>
          </w:tcPr>
          <w:p>
            <w:pPr>
              <w:jc w:val="center"/>
              <w:rPr>
                <w:rFonts w:hint="eastAsia" w:ascii="仿宋_GB2312" w:hAnsi="Times New Roman" w:eastAsia="仿宋_GB2312"/>
                <w:szCs w:val="21"/>
              </w:rPr>
            </w:pPr>
            <w:r>
              <w:rPr>
                <w:rFonts w:hint="eastAsia" w:ascii="仿宋_GB2312" w:hAnsi="Times New Roman" w:eastAsia="仿宋_GB2312"/>
                <w:szCs w:val="21"/>
              </w:rPr>
              <w:t>LJL38-11-01</w:t>
            </w:r>
          </w:p>
        </w:tc>
        <w:tc>
          <w:tcPr>
            <w:tcW w:w="624" w:type="dxa"/>
            <w:tcMar>
              <w:left w:w="0" w:type="dxa"/>
              <w:right w:w="0" w:type="dxa"/>
            </w:tcMar>
            <w:vAlign w:val="center"/>
          </w:tcPr>
          <w:p>
            <w:pPr>
              <w:jc w:val="center"/>
              <w:rPr>
                <w:rFonts w:hint="eastAsia" w:ascii="仿宋_GB2312" w:hAnsi="Times New Roman" w:eastAsia="仿宋_GB2312"/>
                <w:szCs w:val="21"/>
              </w:rPr>
            </w:pPr>
            <w:r>
              <w:rPr>
                <w:rFonts w:hint="eastAsia" w:ascii="仿宋_GB2312" w:eastAsia="仿宋_GB2312"/>
                <w:szCs w:val="21"/>
                <w:lang w:val="en-US" w:eastAsia="zh-CN"/>
              </w:rPr>
              <w:t>住宅、商服</w:t>
            </w:r>
            <w:r>
              <w:rPr>
                <w:rFonts w:hint="eastAsia" w:ascii="仿宋_GB2312" w:hAnsi="Times New Roman" w:eastAsia="仿宋_GB2312"/>
                <w:szCs w:val="21"/>
              </w:rPr>
              <w:t>用地</w:t>
            </w:r>
          </w:p>
        </w:tc>
        <w:tc>
          <w:tcPr>
            <w:tcW w:w="924" w:type="dxa"/>
            <w:vAlign w:val="center"/>
          </w:tcPr>
          <w:p>
            <w:pPr>
              <w:adjustRightInd w:val="0"/>
              <w:snapToGrid w:val="0"/>
              <w:spacing w:line="400" w:lineRule="exact"/>
              <w:jc w:val="center"/>
              <w:rPr>
                <w:rFonts w:hint="default" w:eastAsia="仿宋_GB2312"/>
                <w:szCs w:val="21"/>
                <w:lang w:val="en-US" w:eastAsia="zh-CN"/>
              </w:rPr>
            </w:pPr>
            <w:r>
              <w:rPr>
                <w:rFonts w:hint="eastAsia" w:eastAsia="仿宋_GB2312"/>
                <w:szCs w:val="21"/>
                <w:lang w:val="en-US" w:eastAsia="zh-CN"/>
              </w:rPr>
              <w:t>87440.95</w:t>
            </w:r>
          </w:p>
        </w:tc>
        <w:tc>
          <w:tcPr>
            <w:tcW w:w="1020" w:type="dxa"/>
            <w:vAlign w:val="center"/>
          </w:tcPr>
          <w:p>
            <w:pPr>
              <w:jc w:val="center"/>
              <w:rPr>
                <w:rFonts w:hint="default" w:ascii="仿宋_GB2312" w:hAnsi="Times New Roman" w:eastAsia="仿宋_GB2312"/>
                <w:szCs w:val="21"/>
                <w:lang w:val="en-US" w:eastAsia="zh-CN"/>
              </w:rPr>
            </w:pPr>
            <w:r>
              <w:rPr>
                <w:rFonts w:hint="eastAsia" w:eastAsia="仿宋_GB2312"/>
                <w:szCs w:val="21"/>
                <w:lang w:val="en-US" w:eastAsia="zh-CN"/>
              </w:rPr>
              <w:t>118879.54</w:t>
            </w:r>
          </w:p>
        </w:tc>
        <w:tc>
          <w:tcPr>
            <w:tcW w:w="734" w:type="dxa"/>
            <w:vAlign w:val="center"/>
          </w:tcPr>
          <w:p>
            <w:pPr>
              <w:adjustRightInd w:val="0"/>
              <w:snapToGrid w:val="0"/>
              <w:spacing w:line="400" w:lineRule="exact"/>
              <w:jc w:val="center"/>
              <w:rPr>
                <w:rFonts w:hint="eastAsia" w:ascii="仿宋_GB2312" w:hAnsi="Times New Roman" w:eastAsia="仿宋_GB2312"/>
                <w:szCs w:val="21"/>
                <w:lang w:eastAsia="zh-CN"/>
              </w:rPr>
            </w:pPr>
            <w:r>
              <w:rPr>
                <w:rFonts w:hint="eastAsia" w:eastAsia="仿宋_GB2312"/>
                <w:szCs w:val="21"/>
              </w:rPr>
              <w:t>≤</w:t>
            </w:r>
            <w:r>
              <w:rPr>
                <w:rFonts w:hint="eastAsia" w:ascii="仿宋_GB2312" w:hAnsi="仿宋_GB2312" w:eastAsia="仿宋_GB2312"/>
                <w:color w:val="000000"/>
                <w:szCs w:val="21"/>
                <w:lang w:val="en-US" w:eastAsia="zh-CN"/>
              </w:rPr>
              <w:t>30</w:t>
            </w:r>
            <w:r>
              <w:rPr>
                <w:rFonts w:hint="eastAsia" w:ascii="仿宋_GB2312" w:hAnsi="仿宋_GB2312" w:eastAsia="仿宋_GB2312"/>
                <w:color w:val="000000"/>
                <w:szCs w:val="21"/>
              </w:rPr>
              <w:t>％</w:t>
            </w:r>
            <w:r>
              <w:rPr>
                <w:rFonts w:hint="eastAsia" w:ascii="仿宋_GB2312" w:hAnsi="仿宋_GB2312" w:eastAsia="仿宋_GB2312"/>
                <w:color w:val="000000"/>
                <w:szCs w:val="21"/>
                <w:lang w:eastAsia="zh-CN"/>
              </w:rPr>
              <w:t>（其中</w:t>
            </w:r>
            <w:r>
              <w:rPr>
                <w:rFonts w:hint="default" w:ascii="仿宋_GB2312" w:hAnsi="仿宋_GB2312" w:eastAsia="仿宋_GB2312"/>
                <w:color w:val="000000"/>
                <w:szCs w:val="21"/>
                <w:lang w:val="en-US" w:eastAsia="zh-CN"/>
              </w:rPr>
              <w:t>:</w:t>
            </w:r>
            <w:r>
              <w:rPr>
                <w:rFonts w:hint="eastAsia" w:ascii="仿宋_GB2312" w:hAnsi="仿宋_GB2312" w:eastAsia="仿宋_GB2312"/>
                <w:color w:val="000000"/>
                <w:szCs w:val="21"/>
                <w:lang w:eastAsia="zh-CN"/>
              </w:rPr>
              <w:t>住宅建筑密度</w:t>
            </w:r>
            <w:r>
              <w:rPr>
                <w:rFonts w:hint="eastAsia" w:ascii="仿宋_GB2312" w:hAnsi="仿宋_GB2312" w:eastAsia="仿宋_GB2312" w:cs="仿宋_GB2312"/>
                <w:szCs w:val="21"/>
              </w:rPr>
              <w:t>≤</w:t>
            </w:r>
            <w:r>
              <w:rPr>
                <w:rFonts w:hint="default" w:ascii="Times New Roman" w:hAnsi="Times New Roman" w:eastAsia="仿宋_GB2312" w:cs="Times New Roman"/>
                <w:szCs w:val="21"/>
                <w:lang w:val="en-US" w:eastAsia="zh-CN"/>
              </w:rPr>
              <w:t>22%</w:t>
            </w:r>
            <w:r>
              <w:rPr>
                <w:rFonts w:hint="eastAsia" w:ascii="仿宋_GB2312" w:hAnsi="仿宋_GB2312" w:eastAsia="仿宋_GB2312"/>
                <w:color w:val="000000"/>
                <w:szCs w:val="21"/>
                <w:lang w:eastAsia="zh-CN"/>
              </w:rPr>
              <w:t>）</w:t>
            </w:r>
          </w:p>
        </w:tc>
        <w:tc>
          <w:tcPr>
            <w:tcW w:w="586" w:type="dxa"/>
            <w:vAlign w:val="center"/>
          </w:tcPr>
          <w:p>
            <w:pPr>
              <w:adjustRightInd w:val="0"/>
              <w:snapToGrid w:val="0"/>
              <w:spacing w:line="400" w:lineRule="exact"/>
              <w:jc w:val="center"/>
              <w:rPr>
                <w:rFonts w:hint="eastAsia" w:ascii="仿宋_GB2312" w:hAnsi="Times New Roman" w:eastAsia="仿宋_GB2312"/>
                <w:szCs w:val="21"/>
                <w:lang w:eastAsia="zh-CN"/>
              </w:rPr>
            </w:pP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0</w:t>
            </w:r>
          </w:p>
        </w:tc>
        <w:tc>
          <w:tcPr>
            <w:tcW w:w="1506" w:type="dxa"/>
            <w:vAlign w:val="center"/>
          </w:tcPr>
          <w:p>
            <w:pPr>
              <w:adjustRightInd w:val="0"/>
              <w:snapToGrid w:val="0"/>
              <w:spacing w:line="400" w:lineRule="exact"/>
              <w:jc w:val="center"/>
              <w:rPr>
                <w:rFonts w:hint="eastAsia" w:ascii="仿宋_GB2312" w:hAnsi="Times New Roman" w:eastAsia="仿宋_GB2312"/>
                <w:szCs w:val="21"/>
              </w:rPr>
            </w:pPr>
            <w:r>
              <w:rPr>
                <w:rFonts w:hint="eastAsia" w:ascii="仿宋_GB2312" w:hAnsi="Times New Roman" w:eastAsia="仿宋_GB2312"/>
                <w:szCs w:val="21"/>
              </w:rPr>
              <w:t>≤</w:t>
            </w:r>
            <w:r>
              <w:rPr>
                <w:rFonts w:hint="eastAsia" w:ascii="仿宋_GB2312" w:hAnsi="Times New Roman" w:eastAsia="仿宋_GB2312"/>
                <w:szCs w:val="21"/>
                <w:lang w:val="en-US" w:eastAsia="zh-CN"/>
              </w:rPr>
              <w:t>351540</w:t>
            </w:r>
            <w:r>
              <w:rPr>
                <w:rFonts w:hint="eastAsia" w:ascii="仿宋_GB2312" w:hAnsi="Times New Roman" w:eastAsia="仿宋_GB2312"/>
                <w:szCs w:val="21"/>
              </w:rPr>
              <w:t>㎡(其中：商业建筑面积≤</w:t>
            </w:r>
            <w:r>
              <w:rPr>
                <w:rFonts w:hint="eastAsia" w:ascii="仿宋_GB2312" w:hAnsi="Times New Roman" w:eastAsia="仿宋_GB2312"/>
                <w:szCs w:val="21"/>
                <w:lang w:val="en-US" w:eastAsia="zh-CN"/>
              </w:rPr>
              <w:t>5</w:t>
            </w:r>
            <w:r>
              <w:rPr>
                <w:rFonts w:hint="eastAsia" w:ascii="仿宋_GB2312" w:hAnsi="Times New Roman" w:eastAsia="仿宋_GB2312"/>
                <w:szCs w:val="21"/>
              </w:rPr>
              <w:t>%</w:t>
            </w:r>
            <w:r>
              <w:rPr>
                <w:rFonts w:hint="eastAsia" w:ascii="仿宋_GB2312" w:hAnsi="Times New Roman" w:eastAsia="仿宋_GB2312"/>
                <w:szCs w:val="21"/>
                <w:lang w:eastAsia="zh-CN"/>
              </w:rPr>
              <w:t>，</w:t>
            </w:r>
            <w:r>
              <w:rPr>
                <w:rFonts w:hint="eastAsia" w:ascii="仿宋_GB2312" w:hAnsi="仿宋_GB2312" w:eastAsia="仿宋_GB2312" w:cs="仿宋_GB2312"/>
                <w:szCs w:val="21"/>
              </w:rPr>
              <w:t>配套设施</w:t>
            </w:r>
            <w:r>
              <w:rPr>
                <w:rFonts w:hint="eastAsia" w:ascii="仿宋_GB2312" w:hAnsi="仿宋_GB2312" w:eastAsia="仿宋_GB2312" w:cs="仿宋_GB2312"/>
                <w:szCs w:val="21"/>
                <w:lang w:eastAsia="zh-CN"/>
              </w:rPr>
              <w:t>建筑面积</w:t>
            </w:r>
            <w:r>
              <w:rPr>
                <w:rFonts w:hint="eastAsia" w:ascii="方正仿宋_GBK" w:hAnsi="方正仿宋_GBK" w:eastAsia="方正仿宋_GBK" w:cs="方正仿宋_GBK"/>
                <w:szCs w:val="21"/>
                <w:lang w:eastAsia="zh-CN"/>
              </w:rPr>
              <w:t>&gt;</w:t>
            </w:r>
            <w:r>
              <w:rPr>
                <w:rFonts w:hint="eastAsia" w:ascii="仿宋_GB2312" w:hAnsi="仿宋_GB2312" w:eastAsia="仿宋_GB2312" w:cs="仿宋_GB2312"/>
                <w:szCs w:val="21"/>
                <w:lang w:val="en-US" w:eastAsia="zh-CN"/>
              </w:rPr>
              <w:t>8037</w:t>
            </w:r>
            <w:r>
              <w:rPr>
                <w:rFonts w:hint="eastAsia" w:ascii="仿宋_GB2312" w:hAnsi="Times New Roman" w:eastAsia="仿宋_GB2312"/>
                <w:szCs w:val="21"/>
              </w:rPr>
              <w:t>㎡）</w:t>
            </w:r>
          </w:p>
        </w:tc>
        <w:tc>
          <w:tcPr>
            <w:tcW w:w="1092" w:type="dxa"/>
            <w:vAlign w:val="center"/>
          </w:tcPr>
          <w:p>
            <w:pPr>
              <w:adjustRightInd w:val="0"/>
              <w:snapToGrid w:val="0"/>
              <w:spacing w:line="400" w:lineRule="exact"/>
              <w:jc w:val="center"/>
              <w:rPr>
                <w:rFonts w:hint="eastAsia" w:ascii="仿宋_GB2312" w:hAnsi="Times New Roman" w:eastAsia="仿宋_GB2312"/>
                <w:szCs w:val="21"/>
              </w:rPr>
            </w:pPr>
            <w:r>
              <w:rPr>
                <w:rFonts w:hint="eastAsia" w:ascii="仿宋_GB2312" w:hAnsi="Times New Roman" w:eastAsia="仿宋_GB2312"/>
                <w:szCs w:val="21"/>
                <w:lang w:val="en-US" w:eastAsia="zh-CN"/>
              </w:rPr>
              <w:t>每100㎡计容积率面积≥1个，幼儿园行政管理办公用房每100平方米计容积率建筑面积≥1个</w:t>
            </w:r>
          </w:p>
        </w:tc>
        <w:tc>
          <w:tcPr>
            <w:tcW w:w="642" w:type="dxa"/>
            <w:vAlign w:val="center"/>
          </w:tcPr>
          <w:p>
            <w:pPr>
              <w:adjustRightInd w:val="0"/>
              <w:snapToGrid w:val="0"/>
              <w:spacing w:line="400" w:lineRule="exact"/>
              <w:jc w:val="center"/>
              <w:rPr>
                <w:rFonts w:hint="eastAsia" w:ascii="仿宋_GB2312" w:hAnsi="Times New Roman" w:eastAsia="仿宋_GB2312"/>
                <w:szCs w:val="21"/>
                <w:lang w:eastAsia="zh-CN"/>
              </w:rPr>
            </w:pPr>
            <w:r>
              <w:rPr>
                <w:rFonts w:ascii="Arial" w:hAnsi="Arial" w:eastAsia="仿宋_GB2312" w:cs="Arial"/>
                <w:szCs w:val="21"/>
              </w:rPr>
              <w:t>≥</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5</w:t>
            </w:r>
          </w:p>
        </w:tc>
        <w:tc>
          <w:tcPr>
            <w:tcW w:w="1182" w:type="dxa"/>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olor w:val="000000"/>
                <w:szCs w:val="21"/>
              </w:rPr>
              <w:t>住宅和商业及配套设施</w:t>
            </w:r>
          </w:p>
        </w:tc>
        <w:tc>
          <w:tcPr>
            <w:tcW w:w="864" w:type="dxa"/>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olor w:val="000000"/>
                <w:szCs w:val="21"/>
              </w:rPr>
              <w:t>住宅70年</w:t>
            </w:r>
            <w:r>
              <w:rPr>
                <w:rFonts w:hint="eastAsia" w:ascii="仿宋_GB2312" w:hAnsi="仿宋_GB2312" w:eastAsia="仿宋_GB2312"/>
                <w:color w:val="000000"/>
                <w:szCs w:val="21"/>
                <w:lang w:eastAsia="zh-CN"/>
              </w:rPr>
              <w:t>、</w:t>
            </w:r>
            <w:r>
              <w:rPr>
                <w:rFonts w:hint="eastAsia" w:ascii="仿宋_GB2312" w:hAnsi="仿宋_GB2312" w:eastAsia="仿宋_GB2312"/>
                <w:color w:val="000000"/>
                <w:szCs w:val="21"/>
              </w:rPr>
              <w:t>商服40年</w:t>
            </w:r>
          </w:p>
        </w:tc>
      </w:tr>
    </w:tbl>
    <w:p>
      <w:pPr>
        <w:tabs>
          <w:tab w:val="left" w:pos="11340"/>
        </w:tabs>
        <w:spacing w:line="600" w:lineRule="exact"/>
        <w:rPr>
          <w:rFonts w:hint="eastAsia" w:ascii="仿宋_GB2312" w:eastAsia="仿宋_GB2312"/>
          <w:sz w:val="32"/>
          <w:szCs w:val="32"/>
        </w:rPr>
      </w:pPr>
    </w:p>
    <w:p>
      <w:pPr>
        <w:ind w:firstLine="150" w:firstLineChars="50"/>
        <w:jc w:val="right"/>
        <w:rPr>
          <w:rFonts w:ascii="仿宋_GB2312" w:hAnsi="楷体" w:eastAsia="仿宋_GB2312"/>
          <w:sz w:val="30"/>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pPr>
        <w:pStyle w:val="8"/>
        <w:ind w:firstLine="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- 9 -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B3B0A"/>
    <w:rsid w:val="133777D4"/>
    <w:rsid w:val="17392272"/>
    <w:rsid w:val="256B3B0A"/>
    <w:rsid w:val="3AB5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8">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2020-04-29T06:42:00Z</dcterms:created>
  <dc:creator>黄春枚</dc:creator>
  <cp:lastModifiedBy>黄春枚</cp:lastModifiedBy>
  <cp:lastPrinted>2020-04-29T06:57:00Z</cp:lastPrinted>
  <dcterms:modified xsi:type="dcterms:W3CDTF">2020-04-29T08:42:55Z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