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惠公易土市直[2021]011号</w:t>
      </w:r>
    </w:p>
    <w:p>
      <w:pPr>
        <w:pStyle w:val="2"/>
        <w:rPr>
          <w:rFonts w:hint="eastAsia"/>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w:t>
      </w:r>
      <w:r>
        <w:rPr>
          <w:rFonts w:hint="eastAsia" w:ascii="Times New Roman" w:hAnsi="Times New Roman" w:eastAsia="仿宋_GB2312" w:cs="Times New Roman"/>
          <w:kern w:val="2"/>
          <w:sz w:val="32"/>
          <w:szCs w:val="22"/>
          <w:lang w:val="en-US" w:eastAsia="zh-CN" w:bidi="ar-SA"/>
        </w:rPr>
        <w:t>39号《招标拍卖挂牌出让国有建设用地使用权规定》和广东省人民政府令第79</w:t>
      </w:r>
      <w:r>
        <w:rPr>
          <w:rFonts w:hint="eastAsia" w:ascii="仿宋_GB2312" w:hAnsi="仿宋_GB2312" w:eastAsia="仿宋_GB2312" w:cs="仿宋_GB2312"/>
          <w:sz w:val="32"/>
          <w:szCs w:val="32"/>
        </w:rPr>
        <w:t>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w:t>
      </w:r>
      <w:r>
        <w:rPr>
          <w:rFonts w:hint="eastAsia" w:ascii="Times New Roman" w:hAnsi="Times New Roman" w:eastAsia="仿宋_GB2312" w:cs="Times New Roman"/>
          <w:kern w:val="2"/>
          <w:sz w:val="32"/>
          <w:szCs w:val="22"/>
          <w:lang w:val="en-US" w:eastAsia="zh-CN" w:bidi="ar-SA"/>
        </w:rPr>
        <w:t>2021年</w:t>
      </w:r>
      <w:r>
        <w:rPr>
          <w:rFonts w:hint="eastAsia" w:eastAsia="仿宋_GB2312" w:cs="Times New Roman"/>
          <w:kern w:val="2"/>
          <w:sz w:val="32"/>
          <w:szCs w:val="22"/>
          <w:lang w:val="en-US" w:eastAsia="zh-CN" w:bidi="ar-SA"/>
        </w:rPr>
        <w:t>4</w:t>
      </w:r>
      <w:r>
        <w:rPr>
          <w:rFonts w:hint="eastAsia" w:ascii="Times New Roman" w:hAnsi="Times New Roman" w:eastAsia="仿宋_GB2312" w:cs="Times New Roman"/>
          <w:kern w:val="2"/>
          <w:sz w:val="32"/>
          <w:szCs w:val="22"/>
          <w:lang w:val="en-US" w:eastAsia="zh-CN" w:bidi="ar-SA"/>
        </w:rPr>
        <w:t>月</w:t>
      </w:r>
      <w:r>
        <w:rPr>
          <w:rFonts w:hint="eastAsia" w:eastAsia="仿宋_GB2312" w:cs="Times New Roman"/>
          <w:kern w:val="2"/>
          <w:sz w:val="32"/>
          <w:szCs w:val="22"/>
          <w:lang w:val="en-US" w:eastAsia="zh-CN" w:bidi="ar-SA"/>
        </w:rPr>
        <w:t>20</w:t>
      </w:r>
      <w:r>
        <w:rPr>
          <w:rFonts w:hint="eastAsia" w:ascii="Times New Roman" w:hAnsi="Times New Roman" w:eastAsia="仿宋_GB2312" w:cs="Times New Roman"/>
          <w:kern w:val="2"/>
          <w:sz w:val="32"/>
          <w:szCs w:val="22"/>
          <w:lang w:val="en-US" w:eastAsia="zh-CN" w:bidi="ar-SA"/>
        </w:rPr>
        <w:t>日</w:t>
      </w:r>
      <w:r>
        <w:rPr>
          <w:rFonts w:hint="eastAsia" w:eastAsia="仿宋_GB2312" w:cs="Times New Roman"/>
          <w:kern w:val="2"/>
          <w:sz w:val="32"/>
          <w:szCs w:val="22"/>
          <w:lang w:val="en-US" w:eastAsia="zh-CN" w:bidi="ar-SA"/>
        </w:rPr>
        <w:t>9</w:t>
      </w:r>
      <w:r>
        <w:rPr>
          <w:rFonts w:hint="eastAsia" w:ascii="Times New Roman" w:hAnsi="Times New Roman" w:eastAsia="仿宋_GB2312" w:cs="Times New Roman"/>
          <w:kern w:val="2"/>
          <w:sz w:val="32"/>
          <w:szCs w:val="22"/>
          <w:lang w:val="en-US" w:eastAsia="zh-CN" w:bidi="ar-SA"/>
        </w:rPr>
        <w:t>时至2021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eastAsia="仿宋_GB2312" w:cs="Times New Roman"/>
          <w:kern w:val="2"/>
          <w:sz w:val="32"/>
          <w:szCs w:val="22"/>
          <w:lang w:val="en-US" w:eastAsia="zh-CN" w:bidi="ar-SA"/>
        </w:rPr>
        <w:t>6</w:t>
      </w:r>
      <w:r>
        <w:rPr>
          <w:rFonts w:hint="eastAsia" w:ascii="Times New Roman" w:hAnsi="Times New Roman" w:eastAsia="仿宋_GB2312" w:cs="Times New Roman"/>
          <w:kern w:val="2"/>
          <w:sz w:val="32"/>
          <w:szCs w:val="22"/>
          <w:lang w:val="en-US" w:eastAsia="zh-CN" w:bidi="ar-SA"/>
        </w:rPr>
        <w:t>日</w:t>
      </w:r>
      <w:r>
        <w:rPr>
          <w:rFonts w:hint="eastAsia" w:eastAsia="仿宋_GB2312" w:cs="Times New Roman"/>
          <w:kern w:val="2"/>
          <w:sz w:val="32"/>
          <w:szCs w:val="22"/>
          <w:lang w:val="en-US" w:eastAsia="zh-CN" w:bidi="ar-SA"/>
        </w:rPr>
        <w:t>10</w:t>
      </w:r>
      <w:r>
        <w:rPr>
          <w:rFonts w:hint="eastAsia" w:ascii="Times New Roman" w:hAnsi="Times New Roman" w:eastAsia="仿宋_GB2312" w:cs="Times New Roman"/>
          <w:kern w:val="2"/>
          <w:sz w:val="32"/>
          <w:szCs w:val="22"/>
          <w:lang w:val="en-US" w:eastAsia="zh-CN" w:bidi="ar-SA"/>
        </w:rPr>
        <w:t>时</w:t>
      </w:r>
      <w:r>
        <w:rPr>
          <w:rFonts w:hint="eastAsia" w:ascii="仿宋_GB2312" w:hAnsi="仿宋_GB2312" w:eastAsia="仿宋_GB2312" w:cs="仿宋_GB2312"/>
          <w:sz w:val="32"/>
          <w:szCs w:val="32"/>
        </w:rPr>
        <w:t>。</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eastAsia="仿宋_GB2312" w:cs="Times New Roman"/>
          <w:kern w:val="2"/>
          <w:sz w:val="32"/>
          <w:szCs w:val="22"/>
          <w:lang w:val="en-US" w:eastAsia="zh-CN" w:bidi="ar-SA"/>
        </w:rPr>
        <w:t>25</w:t>
      </w:r>
      <w:r>
        <w:rPr>
          <w:rFonts w:hint="eastAsia" w:ascii="Times New Roman" w:hAnsi="Times New Roman" w:eastAsia="仿宋_GB2312" w:cs="Times New Roman"/>
          <w:kern w:val="2"/>
          <w:sz w:val="32"/>
          <w:szCs w:val="22"/>
          <w:lang w:val="en-US" w:eastAsia="zh-CN" w:bidi="ar-SA"/>
        </w:rPr>
        <w:t>00</w:t>
      </w:r>
      <w:r>
        <w:rPr>
          <w:rFonts w:hint="eastAsia" w:ascii="仿宋_GB2312" w:hAnsi="仿宋_GB2312" w:eastAsia="仿宋_GB2312" w:cs="仿宋_GB2312"/>
          <w:sz w:val="32"/>
          <w:szCs w:val="32"/>
        </w:rPr>
        <w:t>万元,每次报价加价幅度为人民币</w:t>
      </w:r>
      <w:r>
        <w:rPr>
          <w:rFonts w:hint="eastAsia" w:ascii="Times New Roman" w:hAnsi="Times New Roman" w:eastAsia="仿宋_GB2312" w:cs="Times New Roman"/>
          <w:kern w:val="2"/>
          <w:sz w:val="32"/>
          <w:szCs w:val="22"/>
          <w:lang w:val="en-US" w:eastAsia="zh-CN" w:bidi="ar-SA"/>
        </w:rPr>
        <w:t>100</w:t>
      </w:r>
      <w:r>
        <w:rPr>
          <w:rFonts w:hint="eastAsia" w:ascii="仿宋_GB2312" w:hAnsi="仿宋_GB2312" w:eastAsia="仿宋_GB2312" w:cs="仿宋_GB2312"/>
          <w:sz w:val="32"/>
          <w:szCs w:val="32"/>
        </w:rPr>
        <w:t>万元的整数倍。</w:t>
      </w:r>
    </w:p>
    <w:p>
      <w:pPr>
        <w:spacing w:line="52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rPr>
        <w:t>（即竞得人必须是新公司的唯一股东）。</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w:t>
      </w:r>
      <w:r>
        <w:rPr>
          <w:rFonts w:hint="eastAsia" w:ascii="Times New Roman" w:hAnsi="Times New Roman" w:eastAsia="仿宋_GB2312" w:cs="Times New Roman"/>
          <w:kern w:val="2"/>
          <w:sz w:val="32"/>
          <w:szCs w:val="22"/>
          <w:lang w:val="en-US" w:eastAsia="zh-CN" w:bidi="ar-SA"/>
        </w:rPr>
        <w:t>2</w:t>
      </w:r>
      <w:r>
        <w:rPr>
          <w:rFonts w:hint="eastAsia" w:hAnsi="仿宋_GB2312" w:cs="仿宋_GB2312"/>
          <w:szCs w:val="32"/>
        </w:rPr>
        <w:t>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五、该宗地竞买保证金可用人民币及外币（暂限于美元、港币）支付。</w:t>
      </w:r>
    </w:p>
    <w:p>
      <w:pPr>
        <w:pStyle w:val="3"/>
        <w:keepNext w:val="0"/>
        <w:keepLines w:val="0"/>
        <w:pageBreakBefore w:val="0"/>
        <w:widowControl w:val="0"/>
        <w:kinsoku/>
        <w:wordWrap/>
        <w:overflowPunct/>
        <w:topLinePunct w:val="0"/>
        <w:bidi w:val="0"/>
        <w:spacing w:before="0" w:line="560" w:lineRule="exact"/>
        <w:jc w:val="both"/>
        <w:textAlignment w:val="auto"/>
        <w:rPr>
          <w:rFonts w:hAnsi="仿宋_GB2312" w:cs="仿宋_GB2312"/>
          <w:szCs w:val="32"/>
        </w:rPr>
      </w:pPr>
      <w:r>
        <w:rPr>
          <w:rFonts w:hint="eastAsia" w:hAnsi="仿宋_GB2312" w:cs="仿宋_GB2312"/>
          <w:szCs w:val="32"/>
        </w:rPr>
        <w:t>六、申请人应具备的其他条件：</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（一）</w:t>
      </w:r>
      <w:r>
        <w:rPr>
          <w:rFonts w:hint="eastAsia" w:ascii="仿宋_GB2312" w:hAnsi="仿宋" w:eastAsia="仿宋_GB2312"/>
          <w:kern w:val="2"/>
          <w:sz w:val="32"/>
          <w:szCs w:val="32"/>
        </w:rPr>
        <w:t>竞买人须是在惠州注册的独立法人公司</w:t>
      </w:r>
      <w:r>
        <w:rPr>
          <w:rFonts w:hint="eastAsia" w:hAnsi="仿宋"/>
          <w:kern w:val="2"/>
          <w:sz w:val="32"/>
          <w:szCs w:val="32"/>
          <w:lang w:eastAsia="zh-CN"/>
        </w:rPr>
        <w:t>，</w:t>
      </w:r>
      <w:r>
        <w:rPr>
          <w:rFonts w:hint="eastAsia" w:ascii="仿宋_GB2312" w:hAnsi="仿宋" w:eastAsia="仿宋_GB2312"/>
          <w:kern w:val="2"/>
          <w:sz w:val="32"/>
          <w:szCs w:val="32"/>
        </w:rPr>
        <w:t>在惠州合法拥有成品油仓储设施，成交后须提交成品油仓储设施所有权的权属证明材料。</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）缴交竞买保证金</w:t>
      </w:r>
      <w:r>
        <w:rPr>
          <w:rFonts w:hint="eastAsia" w:ascii="Times New Roman" w:hAnsi="Times New Roman" w:cs="Times New Roman"/>
          <w:kern w:val="2"/>
          <w:sz w:val="32"/>
          <w:szCs w:val="22"/>
          <w:lang w:val="en-US" w:eastAsia="zh-CN" w:bidi="ar-SA"/>
        </w:rPr>
        <w:t>75</w:t>
      </w:r>
      <w:r>
        <w:rPr>
          <w:rFonts w:hint="eastAsia" w:ascii="Times New Roman" w:hAnsi="Times New Roman" w:eastAsia="仿宋_GB2312" w:cs="Times New Roman"/>
          <w:kern w:val="2"/>
          <w:sz w:val="32"/>
          <w:szCs w:val="22"/>
          <w:lang w:val="en-US" w:eastAsia="zh-CN" w:bidi="ar-SA"/>
        </w:rPr>
        <w:t>0</w:t>
      </w:r>
      <w:r>
        <w:rPr>
          <w:rFonts w:hint="eastAsia" w:hAnsi="仿宋_GB2312" w:cs="仿宋_GB2312"/>
          <w:szCs w:val="32"/>
        </w:rPr>
        <w:t>万元人民币，如以外币缴交竞买保证金的，须缴交</w:t>
      </w:r>
      <w:r>
        <w:rPr>
          <w:rFonts w:hint="eastAsia" w:ascii="仿宋_GB2312" w:hAnsi="仿宋" w:eastAsia="仿宋_GB2312" w:cs="仿宋_GB2312"/>
          <w:color w:val="000000"/>
          <w:sz w:val="32"/>
          <w:szCs w:val="32"/>
        </w:rPr>
        <w:t>美元</w:t>
      </w:r>
      <w:r>
        <w:rPr>
          <w:rFonts w:hint="eastAsia" w:ascii="Times New Roman" w:hAnsi="Times New Roman" w:cs="Times New Roman"/>
          <w:kern w:val="2"/>
          <w:sz w:val="32"/>
          <w:szCs w:val="22"/>
          <w:lang w:val="en-US" w:eastAsia="zh-CN" w:bidi="ar-SA"/>
        </w:rPr>
        <w:t>116</w:t>
      </w:r>
      <w:r>
        <w:rPr>
          <w:rFonts w:hint="eastAsia" w:ascii="仿宋_GB2312" w:hAnsi="仿宋" w:eastAsia="仿宋_GB2312" w:cs="仿宋_GB2312"/>
          <w:color w:val="000000"/>
          <w:sz w:val="32"/>
          <w:szCs w:val="32"/>
        </w:rPr>
        <w:t>万元</w:t>
      </w:r>
      <w:r>
        <w:rPr>
          <w:rFonts w:hint="eastAsia" w:hAnsi="仿宋" w:cs="仿宋_GB2312"/>
          <w:color w:val="000000"/>
          <w:sz w:val="32"/>
          <w:szCs w:val="32"/>
          <w:lang w:eastAsia="zh-CN"/>
        </w:rPr>
        <w:t>或</w:t>
      </w:r>
      <w:r>
        <w:rPr>
          <w:rFonts w:hint="eastAsia" w:ascii="仿宋_GB2312" w:hAnsi="仿宋" w:eastAsia="仿宋_GB2312" w:cs="仿宋_GB2312"/>
          <w:color w:val="000000"/>
          <w:sz w:val="32"/>
          <w:szCs w:val="32"/>
        </w:rPr>
        <w:t>港币</w:t>
      </w:r>
      <w:r>
        <w:rPr>
          <w:rFonts w:hint="eastAsia" w:ascii="Times New Roman" w:hAnsi="Times New Roman" w:cs="Times New Roman"/>
          <w:kern w:val="2"/>
          <w:sz w:val="32"/>
          <w:szCs w:val="22"/>
          <w:lang w:val="en-US" w:eastAsia="zh-CN" w:bidi="ar-SA"/>
        </w:rPr>
        <w:t>900</w:t>
      </w:r>
      <w:r>
        <w:rPr>
          <w:rFonts w:hint="eastAsia" w:ascii="仿宋_GB2312" w:hAnsi="仿宋" w:eastAsia="仿宋_GB2312" w:cs="仿宋_GB2312"/>
          <w:color w:val="000000"/>
          <w:sz w:val="32"/>
          <w:szCs w:val="32"/>
        </w:rPr>
        <w:t>万元</w:t>
      </w:r>
      <w:r>
        <w:rPr>
          <w:rFonts w:hint="eastAsia" w:hAnsi="仿宋_GB2312" w:cs="仿宋_GB2312"/>
          <w:szCs w:val="32"/>
        </w:rPr>
        <w:t>。</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 w:eastAsia="仿宋_GB2312"/>
          <w:sz w:val="32"/>
          <w:szCs w:val="32"/>
        </w:rPr>
      </w:pPr>
      <w:r>
        <w:rPr>
          <w:rFonts w:hint="eastAsia" w:ascii="仿宋_GB2312" w:hAnsi="仿宋" w:eastAsia="仿宋_GB2312"/>
          <w:kern w:val="2"/>
          <w:sz w:val="32"/>
          <w:szCs w:val="32"/>
        </w:rPr>
        <w:t>（</w:t>
      </w:r>
      <w:r>
        <w:rPr>
          <w:rFonts w:hint="eastAsia" w:ascii="仿宋_GB2312" w:hAnsi="仿宋" w:eastAsia="仿宋_GB2312"/>
          <w:kern w:val="2"/>
          <w:sz w:val="32"/>
          <w:szCs w:val="32"/>
          <w:lang w:val="en-US" w:eastAsia="zh-CN"/>
        </w:rPr>
        <w:t>三</w:t>
      </w:r>
      <w:r>
        <w:rPr>
          <w:rFonts w:hint="eastAsia" w:ascii="仿宋_GB2312" w:hAnsi="仿宋" w:eastAsia="仿宋_GB2312"/>
          <w:kern w:val="2"/>
          <w:sz w:val="32"/>
          <w:szCs w:val="32"/>
        </w:rPr>
        <w:t>）</w:t>
      </w:r>
      <w:r>
        <w:rPr>
          <w:rFonts w:hint="eastAsia" w:ascii="仿宋_GB2312" w:hAnsi="仿宋" w:eastAsia="仿宋_GB2312"/>
          <w:sz w:val="3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1、存在伪造公文骗取用地和非法倒卖土地等犯罪行为的；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2、存在非法转让土地使用权等违法行为的；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3、因企业原因造成土地闲置一年以上且至报名日止未处罚完结的；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5、至报名日止仍拖欠政府地价款的;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6、被列入问题楼盘开发企业黑名单的;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hAnsi="仿宋_GB2312" w:cs="仿宋_GB2312"/>
          <w:szCs w:val="32"/>
        </w:rPr>
      </w:pPr>
      <w:r>
        <w:rPr>
          <w:rFonts w:hint="eastAsia" w:hAnsi="仿宋_GB2312" w:cs="仿宋_GB2312"/>
          <w:szCs w:val="32"/>
        </w:rPr>
        <w:t>7、存在其它被禁止竞买土地行为的。</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以外币缴纳土地竞买保证金的，成交确认后，将在竞得人支付的外币保证金中扣除成交价款的</w:t>
      </w:r>
      <w:r>
        <w:rPr>
          <w:rFonts w:hint="eastAsia" w:ascii="Times New Roman" w:hAnsi="Times New Roman" w:eastAsia="仿宋_GB2312" w:cs="Times New Roman"/>
          <w:kern w:val="2"/>
          <w:sz w:val="32"/>
          <w:szCs w:val="22"/>
          <w:lang w:val="en-US" w:eastAsia="zh-CN" w:bidi="ar-SA"/>
        </w:rPr>
        <w:t>10%</w:t>
      </w:r>
      <w:r>
        <w:rPr>
          <w:rFonts w:hint="eastAsia" w:ascii="仿宋_GB2312" w:hAnsi="仿宋_GB2312" w:eastAsia="仿宋_GB2312" w:cs="仿宋_GB2312"/>
          <w:sz w:val="32"/>
          <w:szCs w:val="32"/>
        </w:rPr>
        <w:t>（按成交当日汇率结汇）作为受让地块的定金，其余部分原路返回给竞得人，待竞得人按时缴清地价款后，再将定金退回。</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w:t>
      </w:r>
      <w:r>
        <w:rPr>
          <w:rFonts w:hint="eastAsia" w:ascii="Times New Roman" w:hAnsi="Times New Roman" w:eastAsia="仿宋_GB2312" w:cs="Times New Roman"/>
          <w:kern w:val="2"/>
          <w:sz w:val="32"/>
          <w:szCs w:val="22"/>
          <w:lang w:val="en-US" w:eastAsia="zh-CN" w:bidi="ar-SA"/>
        </w:rPr>
        <w:t>10%的，不足部分由竞得人在签订《成交确认书》之日起5个工作日</w:t>
      </w:r>
      <w:r>
        <w:rPr>
          <w:rFonts w:hint="eastAsia" w:ascii="仿宋_GB2312" w:hAnsi="仿宋_GB2312" w:eastAsia="仿宋_GB2312" w:cs="仿宋_GB2312"/>
          <w:sz w:val="32"/>
          <w:szCs w:val="32"/>
        </w:rPr>
        <w:t>内付清。</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spacing w:line="560" w:lineRule="exact"/>
        <w:ind w:firstLine="640" w:firstLineChars="200"/>
        <w:rPr>
          <w:rFonts w:hint="default" w:ascii="仿宋_GB2312" w:hAnsi="仿宋" w:eastAsia="仿宋_GB2312" w:cs="Times New Roman"/>
          <w:kern w:val="2"/>
          <w:sz w:val="32"/>
          <w:szCs w:val="32"/>
          <w:lang w:val="en-US" w:eastAsia="zh-CN"/>
        </w:rPr>
      </w:pPr>
      <w:r>
        <w:rPr>
          <w:rFonts w:hint="eastAsia" w:ascii="仿宋_GB2312" w:hAnsi="仿宋_GB2312" w:eastAsia="仿宋_GB2312" w:cs="仿宋_GB2312"/>
          <w:sz w:val="32"/>
          <w:szCs w:val="32"/>
        </w:rPr>
        <w:t>（一）</w:t>
      </w:r>
      <w:r>
        <w:rPr>
          <w:rFonts w:eastAsia="仿宋_GB2312"/>
          <w:sz w:val="32"/>
          <w:szCs w:val="32"/>
        </w:rPr>
        <w:t>开发投资总额不少于</w:t>
      </w:r>
      <w:r>
        <w:rPr>
          <w:rFonts w:hint="eastAsia" w:eastAsia="仿宋_GB2312"/>
          <w:sz w:val="32"/>
          <w:szCs w:val="32"/>
          <w:lang w:val="en-US" w:eastAsia="zh-CN"/>
        </w:rPr>
        <w:t>31</w:t>
      </w:r>
      <w:r>
        <w:rPr>
          <w:rFonts w:hint="eastAsia" w:ascii="Times New Roman" w:hAnsi="Times New Roman" w:eastAsia="仿宋_GB2312" w:cs="Times New Roman"/>
          <w:kern w:val="2"/>
          <w:sz w:val="32"/>
          <w:szCs w:val="22"/>
          <w:lang w:val="en-US" w:eastAsia="zh-CN" w:bidi="ar-SA"/>
        </w:rPr>
        <w:t>00</w:t>
      </w:r>
      <w:r>
        <w:rPr>
          <w:rFonts w:eastAsia="仿宋_GB2312"/>
          <w:sz w:val="32"/>
          <w:szCs w:val="32"/>
        </w:rPr>
        <w:t>万元（含地价,不含地价溢价部分）。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 w:eastAsia="仿宋_GB2312"/>
          <w:kern w:val="2"/>
          <w:sz w:val="32"/>
          <w:szCs w:val="32"/>
          <w:highlight w:val="none"/>
          <w:lang w:val="en-US" w:eastAsia="zh-CN"/>
        </w:rPr>
        <w:t>宗地绿地等用地面积102.74</w:t>
      </w:r>
      <w:r>
        <w:rPr>
          <w:rFonts w:hint="eastAsia" w:ascii="仿宋_GB2312" w:hAnsi="仿宋" w:eastAsia="仿宋_GB2312"/>
          <w:kern w:val="2"/>
          <w:sz w:val="32"/>
          <w:szCs w:val="32"/>
          <w:highlight w:val="none"/>
        </w:rPr>
        <w:t>㎡</w:t>
      </w:r>
      <w:r>
        <w:rPr>
          <w:rFonts w:hint="eastAsia" w:ascii="仿宋_GB2312" w:hAnsi="仿宋" w:eastAsia="仿宋_GB2312"/>
          <w:kern w:val="2"/>
          <w:sz w:val="32"/>
          <w:szCs w:val="32"/>
          <w:highlight w:val="none"/>
          <w:lang w:val="en-US" w:eastAsia="zh-CN"/>
        </w:rPr>
        <w:t>需按土地利用规划性质保留现状。</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w:t>
      </w:r>
      <w:r>
        <w:rPr>
          <w:rFonts w:hint="eastAsia" w:ascii="Times New Roman" w:hAnsi="Times New Roman" w:eastAsia="仿宋_GB2312" w:cs="Times New Roman"/>
          <w:kern w:val="2"/>
          <w:sz w:val="32"/>
          <w:szCs w:val="22"/>
          <w:lang w:val="en-US" w:eastAsia="zh-CN" w:bidi="ar-SA"/>
        </w:rPr>
        <w:t>30</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 w:eastAsia="仿宋_GB2312" w:cs="Times New Roman"/>
          <w:kern w:val="2"/>
          <w:sz w:val="32"/>
          <w:szCs w:val="32"/>
          <w:lang w:eastAsia="zh-CN"/>
        </w:rPr>
        <w:t>竞得人在用地红线内开发建设必须符合城市规划要求，必须按《建设用地规划设计条件》（案卷编号：</w:t>
      </w:r>
      <w:r>
        <w:rPr>
          <w:rFonts w:hint="eastAsia" w:ascii="仿宋_GB2312" w:hAnsi="仿宋" w:eastAsia="仿宋_GB2312" w:cs="Times New Roman"/>
          <w:kern w:val="2"/>
          <w:sz w:val="32"/>
          <w:szCs w:val="32"/>
          <w:lang w:val="en-US" w:eastAsia="zh-CN"/>
        </w:rPr>
        <w:t>PB20200010</w:t>
      </w:r>
      <w:r>
        <w:rPr>
          <w:rFonts w:hint="eastAsia" w:ascii="仿宋_GB2312" w:hAnsi="仿宋" w:eastAsia="仿宋_GB2312" w:cs="Times New Roman"/>
          <w:kern w:val="2"/>
          <w:sz w:val="32"/>
          <w:szCs w:val="32"/>
          <w:lang w:eastAsia="zh-CN"/>
        </w:rPr>
        <w:t>）规划控制指标要求及有关规定进行规划设计。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val="en-US" w:eastAsia="zh-CN"/>
        </w:rPr>
        <w:t>六</w:t>
      </w:r>
      <w:r>
        <w:rPr>
          <w:rFonts w:hint="eastAsia" w:ascii="仿宋_GB2312" w:hAnsi="仿宋" w:eastAsia="仿宋_GB2312" w:cs="仿宋_GB2312"/>
          <w:color w:val="000000"/>
          <w:sz w:val="32"/>
          <w:szCs w:val="32"/>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eastAsia="zh-CN"/>
        </w:rPr>
        <w:t>定金</w:t>
      </w:r>
      <w:r>
        <w:rPr>
          <w:rFonts w:hint="eastAsia" w:ascii="仿宋_GB2312" w:hAnsi="仿宋_GB2312" w:eastAsia="仿宋_GB2312" w:cs="仿宋_GB2312"/>
          <w:sz w:val="32"/>
          <w:szCs w:val="32"/>
          <w:lang w:val="en-US" w:eastAsia="zh-CN"/>
        </w:rPr>
        <w:t>不予退还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）挂牌出让价款不含应由竞得人缴纳的契税、印花税等有关费用。</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十四、</w:t>
      </w:r>
      <w:r>
        <w:rPr>
          <w:rFonts w:hint="eastAsia" w:ascii="仿宋_GB2312" w:hAnsi="仿宋_GB2312" w:eastAsia="仿宋_GB2312" w:cs="仿宋_GB2312"/>
          <w:sz w:val="32"/>
        </w:rPr>
        <w:t>该宗地使用网上挂牌方式出让，交易全程适用《惠州市国有建设用地使用权和矿业权电子挂牌交易规则》（惠府〔2014〕167号）。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十五、</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联系地址：惠州市</w:t>
      </w:r>
      <w:r>
        <w:rPr>
          <w:rFonts w:hint="eastAsia" w:ascii="仿宋_GB2312" w:hAnsi="仿宋_GB2312" w:eastAsia="仿宋_GB2312" w:cs="仿宋_GB2312"/>
          <w:sz w:val="32"/>
          <w:szCs w:val="32"/>
          <w:lang w:val="en-US" w:eastAsia="zh-CN"/>
        </w:rPr>
        <w:t>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邱先生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2896277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）惠州市公共资源交易中心</w:t>
      </w:r>
    </w:p>
    <w:p>
      <w:pPr>
        <w:tabs>
          <w:tab w:val="left" w:pos="720"/>
          <w:tab w:val="left" w:pos="4680"/>
        </w:tabs>
        <w:ind w:left="4318" w:leftChars="304" w:right="-756" w:rightChars="-360" w:hanging="3680" w:hangingChars="11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rPr>
        <w:t>广东省惠州市</w:t>
      </w:r>
      <w:r>
        <w:rPr>
          <w:rFonts w:hint="eastAsia" w:ascii="仿宋_GB2312" w:hAnsi="仿宋_GB2312" w:eastAsia="仿宋_GB2312" w:cs="仿宋_GB2312"/>
          <w:sz w:val="32"/>
          <w:lang w:val="en-US" w:eastAsia="zh-CN"/>
        </w:rPr>
        <w:t>惠城区三新北路31号市民服</w:t>
      </w:r>
    </w:p>
    <w:p>
      <w:pPr>
        <w:tabs>
          <w:tab w:val="left" w:pos="720"/>
          <w:tab w:val="left" w:pos="4680"/>
        </w:tabs>
        <w:ind w:right="-756" w:rightChars="-36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务中心3号楼</w:t>
      </w:r>
    </w:p>
    <w:p>
      <w:pPr>
        <w:tabs>
          <w:tab w:val="left" w:pos="720"/>
          <w:tab w:val="left" w:pos="4680"/>
        </w:tabs>
        <w:ind w:right="-756" w:rightChars="-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spacing w:line="520" w:lineRule="exact"/>
        <w:ind w:left="487" w:leftChars="232"/>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spacing w:line="52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spacing w:line="520" w:lineRule="exact"/>
        <w:ind w:right="64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20" w:lineRule="exact"/>
        <w:ind w:right="640" w:firstLine="5033" w:firstLineChars="15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spacing w:line="520" w:lineRule="exact"/>
        <w:ind w:right="640" w:firstLine="4640" w:firstLineChars="1450"/>
        <w:rPr>
          <w:rFonts w:ascii="仿宋_GB2312" w:eastAsia="仿宋_GB2312"/>
          <w:sz w:val="32"/>
          <w:szCs w:val="32"/>
        </w:rPr>
      </w:pPr>
      <w:r>
        <w:rPr>
          <w:rFonts w:hint="eastAsia" w:ascii="仿宋_GB2312" w:hAnsi="仿宋_GB2312" w:eastAsia="仿宋_GB2312" w:cs="仿宋_GB2312"/>
          <w:sz w:val="32"/>
          <w:szCs w:val="32"/>
        </w:rPr>
        <w:t>惠州市公共资源交易中心</w:t>
      </w:r>
    </w:p>
    <w:p>
      <w:pPr>
        <w:pStyle w:val="2"/>
        <w:ind w:firstLine="5120" w:firstLineChars="1600"/>
        <w:rPr>
          <w:rFonts w:hint="default" w:eastAsia="仿宋_GB231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eastAsia="仿宋_GB2312"/>
          <w:sz w:val="32"/>
          <w:szCs w:val="32"/>
          <w:lang w:val="en-US" w:eastAsia="zh-CN"/>
        </w:rPr>
        <w:t>2021年3月30日</w:t>
      </w: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pPr w:leftFromText="180" w:rightFromText="180" w:vertAnchor="text" w:tblpXSpec="center" w:tblpY="1"/>
        <w:tblOverlap w:val="never"/>
        <w:tblW w:w="9551"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480"/>
        <w:gridCol w:w="714"/>
        <w:gridCol w:w="763"/>
        <w:gridCol w:w="1004"/>
        <w:gridCol w:w="899"/>
        <w:gridCol w:w="849"/>
        <w:gridCol w:w="1136"/>
        <w:gridCol w:w="897"/>
        <w:gridCol w:w="744"/>
        <w:gridCol w:w="741"/>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66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8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14"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763"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6934" w:type="dxa"/>
            <w:gridSpan w:val="8"/>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规划指标要求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660" w:type="dxa"/>
            <w:vMerge w:val="continue"/>
            <w:vAlign w:val="center"/>
          </w:tcPr>
          <w:p>
            <w:pPr>
              <w:adjustRightInd w:val="0"/>
              <w:snapToGrid w:val="0"/>
              <w:spacing w:line="320" w:lineRule="exact"/>
              <w:jc w:val="center"/>
              <w:rPr>
                <w:rFonts w:hint="eastAsia" w:ascii="仿宋_GB2312" w:eastAsia="仿宋_GB2312"/>
                <w:b/>
                <w:bCs/>
              </w:rPr>
            </w:pPr>
          </w:p>
        </w:tc>
        <w:tc>
          <w:tcPr>
            <w:tcW w:w="480" w:type="dxa"/>
            <w:vMerge w:val="continue"/>
            <w:vAlign w:val="center"/>
          </w:tcPr>
          <w:p>
            <w:pPr>
              <w:adjustRightInd w:val="0"/>
              <w:snapToGrid w:val="0"/>
              <w:spacing w:line="320" w:lineRule="exact"/>
              <w:jc w:val="center"/>
              <w:rPr>
                <w:rFonts w:hint="eastAsia" w:ascii="仿宋_GB2312" w:eastAsia="仿宋_GB2312"/>
                <w:b/>
                <w:bCs/>
              </w:rPr>
            </w:pPr>
          </w:p>
        </w:tc>
        <w:tc>
          <w:tcPr>
            <w:tcW w:w="714" w:type="dxa"/>
            <w:vMerge w:val="continue"/>
            <w:vAlign w:val="center"/>
          </w:tcPr>
          <w:p>
            <w:pPr>
              <w:adjustRightInd w:val="0"/>
              <w:snapToGrid w:val="0"/>
              <w:spacing w:line="320" w:lineRule="exact"/>
              <w:jc w:val="center"/>
              <w:rPr>
                <w:rFonts w:hint="eastAsia" w:ascii="仿宋_GB2312" w:eastAsia="仿宋_GB2312"/>
                <w:b/>
                <w:bCs/>
              </w:rPr>
            </w:pPr>
          </w:p>
        </w:tc>
        <w:tc>
          <w:tcPr>
            <w:tcW w:w="763" w:type="dxa"/>
            <w:vMerge w:val="continue"/>
            <w:vAlign w:val="center"/>
          </w:tcPr>
          <w:p>
            <w:pPr>
              <w:adjustRightInd w:val="0"/>
              <w:snapToGrid w:val="0"/>
              <w:spacing w:line="320" w:lineRule="exact"/>
              <w:jc w:val="center"/>
              <w:rPr>
                <w:rFonts w:hint="eastAsia" w:ascii="仿宋_GB2312" w:eastAsia="仿宋_GB2312"/>
                <w:b/>
                <w:bCs/>
              </w:rPr>
            </w:pPr>
          </w:p>
        </w:tc>
        <w:tc>
          <w:tcPr>
            <w:tcW w:w="1004"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899" w:type="dxa"/>
            <w:vAlign w:val="center"/>
          </w:tcPr>
          <w:p>
            <w:pPr>
              <w:autoSpaceDE w:val="0"/>
              <w:autoSpaceDN w:val="0"/>
              <w:adjustRightInd w:val="0"/>
              <w:spacing w:line="240" w:lineRule="exact"/>
              <w:jc w:val="center"/>
              <w:rPr>
                <w:rFonts w:hint="eastAsia" w:ascii="仿宋_GB2312"/>
                <w:b/>
                <w:bCs/>
                <w:szCs w:val="21"/>
              </w:rPr>
            </w:pPr>
            <w:r>
              <w:rPr>
                <w:rFonts w:hint="eastAsia" w:ascii="仿宋_GB2312" w:eastAsia="仿宋_GB2312"/>
                <w:b/>
                <w:bCs/>
                <w:szCs w:val="21"/>
              </w:rPr>
              <w:t>宗地使用权面积（</w:t>
            </w:r>
            <w:r>
              <w:rPr>
                <w:rFonts w:hint="eastAsia" w:ascii="宋体" w:hAnsi="宋体" w:cs="宋体"/>
                <w:b/>
                <w:bCs/>
                <w:szCs w:val="21"/>
              </w:rPr>
              <w:t>㎡）</w:t>
            </w:r>
          </w:p>
        </w:tc>
        <w:tc>
          <w:tcPr>
            <w:tcW w:w="849"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r>
              <w:rPr>
                <w:rFonts w:hint="eastAsia" w:ascii="宋体" w:hAnsi="宋体" w:cs="宋体"/>
                <w:b/>
                <w:szCs w:val="21"/>
              </w:rPr>
              <w:t>（％）</w:t>
            </w:r>
          </w:p>
        </w:tc>
        <w:tc>
          <w:tcPr>
            <w:tcW w:w="1136"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897"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eastAsia="仿宋_GB2312"/>
                <w:b/>
                <w:szCs w:val="21"/>
                <w:lang w:val="en-US" w:eastAsia="zh-CN"/>
              </w:rPr>
              <w:t>建设等级</w:t>
            </w:r>
          </w:p>
        </w:tc>
        <w:tc>
          <w:tcPr>
            <w:tcW w:w="744" w:type="dxa"/>
            <w:vAlign w:val="center"/>
          </w:tcPr>
          <w:p>
            <w:pPr>
              <w:autoSpaceDE w:val="0"/>
              <w:autoSpaceDN w:val="0"/>
              <w:adjustRightInd w:val="0"/>
              <w:spacing w:line="240" w:lineRule="exact"/>
              <w:jc w:val="center"/>
              <w:rPr>
                <w:rFonts w:hint="default" w:ascii="宋体" w:hAnsi="宋体" w:eastAsia="宋体" w:cs="宋体"/>
                <w:b/>
                <w:bCs/>
                <w:szCs w:val="21"/>
                <w:lang w:val="en-US" w:eastAsia="zh-CN"/>
              </w:rPr>
            </w:pPr>
            <w:r>
              <w:rPr>
                <w:rFonts w:hint="eastAsia" w:ascii="宋体" w:hAnsi="宋体" w:cs="宋体"/>
                <w:b/>
                <w:bCs/>
                <w:szCs w:val="21"/>
                <w:lang w:val="en-US" w:eastAsia="zh-CN"/>
              </w:rPr>
              <w:t>建设规模</w:t>
            </w:r>
          </w:p>
        </w:tc>
        <w:tc>
          <w:tcPr>
            <w:tcW w:w="741"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适建性</w:t>
            </w:r>
          </w:p>
        </w:tc>
        <w:tc>
          <w:tcPr>
            <w:tcW w:w="664"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6" w:hRule="atLeast"/>
        </w:trPr>
        <w:tc>
          <w:tcPr>
            <w:tcW w:w="660" w:type="dxa"/>
            <w:tcMar>
              <w:left w:w="0" w:type="dxa"/>
              <w:right w:w="0" w:type="dxa"/>
            </w:tcMar>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GP2021</w:t>
            </w:r>
          </w:p>
          <w:p>
            <w:pPr>
              <w:spacing w:line="300" w:lineRule="exact"/>
              <w:jc w:val="center"/>
              <w:rPr>
                <w:rFonts w:hint="eastAsia" w:ascii="仿宋_GB2312" w:eastAsia="仿宋_GB2312"/>
                <w:szCs w:val="21"/>
              </w:rPr>
            </w:pPr>
            <w:r>
              <w:rPr>
                <w:rFonts w:hint="eastAsia" w:ascii="仿宋" w:hAnsi="仿宋" w:eastAsia="仿宋" w:cs="仿宋"/>
                <w:szCs w:val="21"/>
                <w:lang w:val="en-US" w:eastAsia="zh-CN"/>
              </w:rPr>
              <w:t>-11</w:t>
            </w:r>
          </w:p>
        </w:tc>
        <w:tc>
          <w:tcPr>
            <w:tcW w:w="480" w:type="dxa"/>
            <w:vAlign w:val="center"/>
          </w:tcPr>
          <w:p>
            <w:pPr>
              <w:spacing w:line="3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惠州市惠城区南部片区金山水廊02-01-05地块</w:t>
            </w:r>
          </w:p>
        </w:tc>
        <w:tc>
          <w:tcPr>
            <w:tcW w:w="714" w:type="dxa"/>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02-01-05</w:t>
            </w:r>
          </w:p>
        </w:tc>
        <w:tc>
          <w:tcPr>
            <w:tcW w:w="763" w:type="dxa"/>
            <w:tcMar>
              <w:left w:w="0" w:type="dxa"/>
              <w:right w:w="0" w:type="dxa"/>
            </w:tcMar>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商服</w:t>
            </w:r>
          </w:p>
          <w:p>
            <w:pPr>
              <w:spacing w:line="3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用地</w:t>
            </w:r>
          </w:p>
        </w:tc>
        <w:tc>
          <w:tcPr>
            <w:tcW w:w="1004" w:type="dxa"/>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3931.56</w:t>
            </w:r>
          </w:p>
        </w:tc>
        <w:tc>
          <w:tcPr>
            <w:tcW w:w="899" w:type="dxa"/>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3370.13</w:t>
            </w:r>
          </w:p>
        </w:tc>
        <w:tc>
          <w:tcPr>
            <w:tcW w:w="849" w:type="dxa"/>
            <w:vAlign w:val="center"/>
          </w:tcPr>
          <w:p>
            <w:pPr>
              <w:spacing w:line="3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≤0.5</w:t>
            </w:r>
          </w:p>
        </w:tc>
        <w:tc>
          <w:tcPr>
            <w:tcW w:w="1136" w:type="dxa"/>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≤1966㎡</w:t>
            </w:r>
          </w:p>
        </w:tc>
        <w:tc>
          <w:tcPr>
            <w:tcW w:w="897" w:type="dxa"/>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二级加油站</w:t>
            </w:r>
          </w:p>
        </w:tc>
        <w:tc>
          <w:tcPr>
            <w:tcW w:w="744" w:type="dxa"/>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90 m³＜油品储罐总容积≤150 m³，油品储罐单罐总容积≤50 m³</w:t>
            </w:r>
          </w:p>
        </w:tc>
        <w:tc>
          <w:tcPr>
            <w:tcW w:w="741" w:type="dxa"/>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加油站及配套设施</w:t>
            </w:r>
          </w:p>
        </w:tc>
        <w:tc>
          <w:tcPr>
            <w:tcW w:w="664" w:type="dxa"/>
            <w:vAlign w:val="center"/>
          </w:tcPr>
          <w:p>
            <w:pPr>
              <w:spacing w:line="3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商服用地40年</w:t>
            </w:r>
          </w:p>
        </w:tc>
      </w:tr>
    </w:tbl>
    <w:p>
      <w:pPr>
        <w:pStyle w:val="2"/>
        <w:rPr>
          <w:rFonts w:hint="eastAsia"/>
        </w:rPr>
      </w:pPr>
    </w:p>
    <w:p>
      <w:pPr>
        <w:tabs>
          <w:tab w:val="left" w:pos="11340"/>
        </w:tabs>
        <w:spacing w:line="600" w:lineRule="exact"/>
        <w:rPr>
          <w:rFonts w:hint="eastAsia" w:ascii="仿宋_GB2312" w:eastAsia="仿宋_GB2312"/>
          <w:sz w:val="32"/>
          <w:szCs w:val="32"/>
        </w:rPr>
      </w:pPr>
    </w:p>
    <w:p>
      <w:pPr>
        <w:pStyle w:val="2"/>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- 9 -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D788F"/>
    <w:rsid w:val="07CC4D7A"/>
    <w:rsid w:val="0E542F47"/>
    <w:rsid w:val="0F61459D"/>
    <w:rsid w:val="145034DB"/>
    <w:rsid w:val="16E27C0C"/>
    <w:rsid w:val="1ED1075A"/>
    <w:rsid w:val="1EE809D5"/>
    <w:rsid w:val="1F2C7873"/>
    <w:rsid w:val="225721C1"/>
    <w:rsid w:val="24921B21"/>
    <w:rsid w:val="285D788F"/>
    <w:rsid w:val="34E24125"/>
    <w:rsid w:val="36227A66"/>
    <w:rsid w:val="46C549C8"/>
    <w:rsid w:val="494A5199"/>
    <w:rsid w:val="4D04417C"/>
    <w:rsid w:val="4DF178BA"/>
    <w:rsid w:val="543F4244"/>
    <w:rsid w:val="591E7A48"/>
    <w:rsid w:val="5A6D3697"/>
    <w:rsid w:val="5A816A56"/>
    <w:rsid w:val="5D8563B2"/>
    <w:rsid w:val="620E670B"/>
    <w:rsid w:val="64481B94"/>
    <w:rsid w:val="6C4813F8"/>
    <w:rsid w:val="793F14D5"/>
    <w:rsid w:val="7B31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2021-03-19T08:02:00Z</dcterms:created>
  <dc:creator>袁秀玲</dc:creator>
  <cp:lastModifiedBy>袁秀玲</cp:lastModifiedBy>
  <cp:lastPrinted>2021-03-25T01:02:00Z</cp:lastPrinted>
  <dcterms:modified xsi:type="dcterms:W3CDTF">2021-03-30T09:00:01Z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