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040</w:t>
      </w:r>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根据国土资源部令第39号《招标拍卖挂牌出让国有建设用地使用权规定》和广东省人民政府令第79号《广东省土地使用权交易市场管理规定》的规定，经惠州市人民政府批准，惠州市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仿宋" w:eastAsia="仿宋_GB2312"/>
          <w:sz w:val="32"/>
          <w:szCs w:val="32"/>
          <w:lang w:val="en-US" w:eastAsia="zh-CN"/>
        </w:rPr>
        <w:t>24610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五</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7383</w:t>
      </w:r>
      <w:r>
        <w:rPr>
          <w:rFonts w:hint="eastAsia" w:hAnsi="仿宋_GB2312" w:cs="仿宋_GB2312"/>
          <w:szCs w:val="32"/>
        </w:rPr>
        <w:t>万元人民币。</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（二）竞得人在用地红线内开发建设必须符合城市规划要求，必须按上述建设方案的要求进行规划设计。</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（三）存在下列违法违规违约行为之一的企业及其控股股东，不得参与竞买上述地块：</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1.因企业原因造成土地闲置一年以上的单位不得参与竞买上述地块。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开发建设企业违背出让合同约定条件开发利用土地的单位不得参与竞买上述地块。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拖欠政府地价款的单位不得参与竞买上述地块。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、申请人应当在网上挂牌出让结束前登陆惠州市公共资源交易中心土地与矿业网上挂牌交易系统并在系统上向惠州市公共资源交易中心提交竞买申请并支付保证金。网上挂牌保证金到账截止时间为20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、竞得人签订《成交确认书》后，缴交的保证金中按成交价的</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%转作定金，竞得人签订《出让合同》后，定金转作土地出让价款。</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保证金少于成交价20%的，不足部分由竞得人在签订《成交确认书》之日起5个工作日内付清。</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 w:eastAsia="仿宋_GB2312"/>
          <w:sz w:val="32"/>
          <w:szCs w:val="32"/>
          <w:lang w:val="en-US" w:eastAsia="zh-CN"/>
        </w:rPr>
        <w:t>30</w:t>
      </w:r>
      <w:r>
        <w:rPr>
          <w:rFonts w:hint="eastAsia" w:ascii="仿宋_GB2312" w:hAnsi="仿宋_GB2312" w:eastAsia="仿宋_GB2312" w:cs="仿宋_GB2312"/>
          <w:sz w:val="32"/>
          <w:szCs w:val="32"/>
          <w:lang w:val="en-US" w:eastAsia="zh-CN"/>
        </w:rPr>
        <w:t>亿</w:t>
      </w:r>
      <w:r>
        <w:rPr>
          <w:rFonts w:hint="eastAsia" w:ascii="仿宋_GB2312" w:hAnsi="仿宋_GB2312" w:eastAsia="仿宋_GB2312" w:cs="仿宋_GB2312"/>
          <w:sz w:val="32"/>
          <w:szCs w:val="32"/>
        </w:rPr>
        <w:t>元（含地价）。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（三）竞买人须提交惠城区发改局出具的与该宗地块规划确定的产业类型一致的优先发展产业项目文件。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）该地权利清晰，安置补偿落实到位，没有法律经济纠纷，具备动工开发所必须的基本条件。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项目规划建设方案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所报方案的主要技术经济指标：JD-106-03地块计算指标用地面积65365平方米，计容积率建筑面积198204.76平方米，容积率3.0，基底面积23393.7平方米，建筑密度35.8％，绿地率17.3％，机动车停车位571个（地面161个，地下410个）；JD-112-02地块计算指标用地面积65856平方米，计容积率建筑面积204900.22平方米，容积率3.1，基底面积24901.07平方米，建筑密度37.8％，绿地率15.9％，机动车停车位627个（地面82个，地下545个）；JD-112-04地块计算指标用地面积44298平方米，计容积率建筑面积140977.84平方米，容积率3.2，基底面积15696.92平方米，建筑密度35.4％，绿地率20％，机动车停车位378个（地面20个，地下358个）；JD-117-14地块计算指标用地面积76103平方米，计容积率建筑面积228369.72平方米，容积率3.0，基底面积23799.82平方米，建筑密度31.3％，绿地率19.4％，机动车停车位764个（地面152个，地下612个）。所报方案符合《建设用地规划设计条件》（案卷编号：PB20200115号）相关技术经济指标要求，同意所报总平面图和单体建筑设计方案，须按程序进行公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2、建设项目平面布置图详见附件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招商条件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投资规模不低于30亿元，投资强度不低于1.2亿元/公顷，土地产出率（营业收入）不低于2.25亿元/公顷/年，税收产出不低于0.12亿元/公顷/年。其中，土地产出率及税收产出，在项目投产后3年内逐年考核，3年内的平均值不得低于上述标准。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经惠城区人民政府审批同意，并符合惠城区产业发展方向及项目入区审核标准。本宗地交付乙方后,乙方须向惠城区高新科技产业园管委会提交项目投资计划书和时间安排表，并按月向惠城区高新科技产业园管委会书面报告项目进展情况，直至项目投产。</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竞得人在签订《成交确认书》前，须与惠城区高新科技产业园管委会签订《惠城区工业项目土地建设和使用监管协议书》，并由惠城区高新科技产业园管委会对项目用地实施批后监管。</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竞得人有下列行为之一的，视为违约，取消竞得人资格，没收保证金,并由有关部门依法处理;造成损失的，竞得人还应依法承担赔偿责任：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3、竞得人以其他非法手段竞得的；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、该宗地使用网上挂牌方式出让，交易全程适用《惠州市国有建设用地使用权和矿业权电子挂牌交易规则》（惠府〔</w:t>
      </w:r>
      <w:r>
        <w:rPr>
          <w:rFonts w:hint="eastAsia" w:ascii="仿宋_GB2312" w:hAnsi="仿宋_GB2312" w:eastAsia="仿宋_GB2312" w:cs="仿宋_GB2312"/>
          <w:sz w:val="32"/>
          <w:szCs w:val="32"/>
          <w:lang w:val="en-US" w:eastAsia="zh-CN"/>
        </w:rPr>
        <w:t>2014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167号）。</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地址：惠州市</w:t>
      </w:r>
      <w:r>
        <w:rPr>
          <w:rFonts w:hint="eastAsia" w:ascii="仿宋_GB2312" w:hAnsi="仿宋_GB2312" w:eastAsia="仿宋_GB2312" w:cs="仿宋_GB2312"/>
          <w:sz w:val="32"/>
          <w:szCs w:val="32"/>
          <w:lang w:val="en-US" w:eastAsia="zh-CN"/>
        </w:rPr>
        <w:t>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陈镇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惠州市公共资源交易中心土地矿业交易部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联系地址：广东省惠州市江北文华一路2号大隆大厦6楼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联系人：袁小姐、黄小姐</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惠州日报。</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w:t>
      </w:r>
      <w:r>
        <w:rPr>
          <w:rFonts w:hint="eastAsia" w:ascii="仿宋_GB2312" w:hAnsi="仿宋_GB2312" w:eastAsia="仿宋_GB2312" w:cs="仿宋_GB2312"/>
          <w:color w:val="000000"/>
          <w:sz w:val="32"/>
          <w:szCs w:val="32"/>
        </w:rPr>
        <w:t>惠州市江北云山西路二号帝景国际商务中心七层18-22房。</w:t>
      </w:r>
    </w:p>
    <w:p>
      <w:pPr>
        <w:keepNext w:val="0"/>
        <w:keepLines w:val="0"/>
        <w:pageBreakBefore w:val="0"/>
        <w:widowControl w:val="0"/>
        <w:kinsoku/>
        <w:wordWrap/>
        <w:overflowPunct/>
        <w:topLinePunct w:val="0"/>
        <w:autoSpaceDE/>
        <w:autoSpaceDN/>
        <w:bidi w:val="0"/>
        <w:spacing w:line="560" w:lineRule="exact"/>
        <w:ind w:firstLine="55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联系电话：0752-2898481</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firstLine="4480" w:firstLineChars="14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spacing w:line="520" w:lineRule="exact"/>
        <w:ind w:right="640"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惠州市公共资源交易中</w:t>
      </w:r>
      <w:r>
        <w:rPr>
          <w:rFonts w:hint="eastAsia" w:ascii="仿宋_GB2312" w:hAnsi="仿宋_GB2312" w:eastAsia="仿宋_GB2312" w:cs="仿宋_GB2312"/>
          <w:sz w:val="32"/>
          <w:szCs w:val="32"/>
          <w:lang w:val="en-US" w:eastAsia="zh-CN"/>
        </w:rPr>
        <w:t>心</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2020年10月22日</w:t>
      </w:r>
    </w:p>
    <w:p>
      <w:pPr>
        <w:spacing w:line="360" w:lineRule="auto"/>
        <w:rPr>
          <w:rFonts w:hint="eastAsia" w:ascii="黑体" w:hAnsi="黑体" w:eastAsia="黑体"/>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tbl>
      <w:tblPr>
        <w:tblStyle w:val="8"/>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50"/>
        <w:gridCol w:w="750"/>
        <w:gridCol w:w="675"/>
        <w:gridCol w:w="774"/>
        <w:gridCol w:w="948"/>
        <w:gridCol w:w="720"/>
        <w:gridCol w:w="1233"/>
        <w:gridCol w:w="1605"/>
        <w:gridCol w:w="885"/>
        <w:gridCol w:w="857"/>
        <w:gridCol w:w="708"/>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70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45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75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67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774"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956"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70"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705" w:type="dxa"/>
            <w:vMerge w:val="continue"/>
            <w:vAlign w:val="center"/>
          </w:tcPr>
          <w:p>
            <w:pPr>
              <w:adjustRightInd w:val="0"/>
              <w:snapToGrid w:val="0"/>
              <w:spacing w:line="320" w:lineRule="exact"/>
              <w:jc w:val="center"/>
              <w:rPr>
                <w:rFonts w:hint="eastAsia" w:ascii="仿宋_GB2312" w:eastAsia="仿宋_GB2312"/>
                <w:b/>
                <w:bCs/>
              </w:rPr>
            </w:pPr>
          </w:p>
        </w:tc>
        <w:tc>
          <w:tcPr>
            <w:tcW w:w="450" w:type="dxa"/>
            <w:vMerge w:val="continue"/>
            <w:vAlign w:val="center"/>
          </w:tcPr>
          <w:p>
            <w:pPr>
              <w:adjustRightInd w:val="0"/>
              <w:snapToGrid w:val="0"/>
              <w:spacing w:line="320" w:lineRule="exact"/>
              <w:jc w:val="center"/>
              <w:rPr>
                <w:rFonts w:hint="eastAsia" w:ascii="仿宋_GB2312" w:eastAsia="仿宋_GB2312"/>
                <w:b/>
                <w:bCs/>
              </w:rPr>
            </w:pPr>
          </w:p>
        </w:tc>
        <w:tc>
          <w:tcPr>
            <w:tcW w:w="750" w:type="dxa"/>
            <w:vMerge w:val="continue"/>
            <w:vAlign w:val="center"/>
          </w:tcPr>
          <w:p>
            <w:pPr>
              <w:adjustRightInd w:val="0"/>
              <w:snapToGrid w:val="0"/>
              <w:spacing w:line="320" w:lineRule="exact"/>
              <w:jc w:val="center"/>
              <w:rPr>
                <w:rFonts w:hint="eastAsia" w:ascii="仿宋_GB2312" w:eastAsia="仿宋_GB2312"/>
                <w:b/>
                <w:bCs/>
              </w:rPr>
            </w:pPr>
          </w:p>
        </w:tc>
        <w:tc>
          <w:tcPr>
            <w:tcW w:w="675" w:type="dxa"/>
            <w:vMerge w:val="continue"/>
            <w:vAlign w:val="center"/>
          </w:tcPr>
          <w:p>
            <w:pPr>
              <w:adjustRightInd w:val="0"/>
              <w:snapToGrid w:val="0"/>
              <w:spacing w:line="320" w:lineRule="exact"/>
              <w:jc w:val="center"/>
              <w:rPr>
                <w:rFonts w:hint="eastAsia" w:ascii="仿宋_GB2312" w:eastAsia="仿宋_GB2312"/>
                <w:b/>
                <w:bCs/>
              </w:rPr>
            </w:pPr>
          </w:p>
        </w:tc>
        <w:tc>
          <w:tcPr>
            <w:tcW w:w="774" w:type="dxa"/>
            <w:vMerge w:val="continue"/>
            <w:vAlign w:val="center"/>
          </w:tcPr>
          <w:p>
            <w:pPr>
              <w:adjustRightInd w:val="0"/>
              <w:snapToGrid w:val="0"/>
              <w:spacing w:line="320" w:lineRule="exact"/>
              <w:jc w:val="center"/>
              <w:rPr>
                <w:rFonts w:hint="eastAsia" w:ascii="仿宋_GB2312" w:eastAsia="仿宋_GB2312"/>
                <w:b/>
                <w:bCs/>
              </w:rPr>
            </w:pPr>
          </w:p>
        </w:tc>
        <w:tc>
          <w:tcPr>
            <w:tcW w:w="948"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2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建筑密度</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1233"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605"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885"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857"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eastAsia="仿宋_GB2312"/>
                <w:b/>
                <w:szCs w:val="21"/>
              </w:rPr>
            </w:pPr>
            <w:r>
              <w:rPr>
                <w:rFonts w:hint="eastAsia" w:ascii="宋体" w:hAnsi="宋体" w:cs="宋体"/>
                <w:b/>
                <w:szCs w:val="21"/>
              </w:rPr>
              <w:t>（％）</w:t>
            </w:r>
          </w:p>
        </w:tc>
        <w:tc>
          <w:tcPr>
            <w:tcW w:w="708" w:type="dxa"/>
            <w:vAlign w:val="center"/>
          </w:tcPr>
          <w:p>
            <w:pPr>
              <w:spacing w:line="320" w:lineRule="exact"/>
              <w:ind w:left="44" w:right="-53" w:rightChars="-25" w:hanging="44" w:hangingChars="21"/>
              <w:jc w:val="center"/>
              <w:rPr>
                <w:rFonts w:hint="eastAsia" w:ascii="仿宋_GB2312" w:eastAsia="仿宋_GB2312"/>
                <w:b/>
                <w:bCs/>
              </w:rPr>
            </w:pPr>
            <w:r>
              <w:rPr>
                <w:rFonts w:hint="eastAsia" w:ascii="仿宋_GB2312" w:eastAsia="仿宋_GB2312"/>
                <w:b/>
                <w:bCs/>
                <w:szCs w:val="21"/>
              </w:rPr>
              <w:t>适建性</w:t>
            </w:r>
          </w:p>
          <w:p>
            <w:pPr>
              <w:autoSpaceDE w:val="0"/>
              <w:autoSpaceDN w:val="0"/>
              <w:adjustRightInd w:val="0"/>
              <w:spacing w:line="240" w:lineRule="exact"/>
              <w:jc w:val="center"/>
              <w:rPr>
                <w:rFonts w:hint="eastAsia" w:ascii="仿宋_GB2312" w:eastAsia="仿宋_GB2312"/>
                <w:b/>
                <w:bCs/>
              </w:rPr>
            </w:pPr>
          </w:p>
        </w:tc>
        <w:tc>
          <w:tcPr>
            <w:tcW w:w="670"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705" w:type="dxa"/>
            <w:vMerge w:val="restart"/>
            <w:tcMar>
              <w:left w:w="0" w:type="dxa"/>
              <w:right w:w="0" w:type="dxa"/>
            </w:tcMar>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GP2020-40</w:t>
            </w:r>
          </w:p>
        </w:tc>
        <w:tc>
          <w:tcPr>
            <w:tcW w:w="450" w:type="dxa"/>
            <w:vMerge w:val="restart"/>
            <w:vAlign w:val="center"/>
          </w:tcPr>
          <w:p>
            <w:pPr>
              <w:jc w:val="center"/>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惠州市惠城区水口青塘湖片区</w:t>
            </w:r>
          </w:p>
        </w:tc>
        <w:tc>
          <w:tcPr>
            <w:tcW w:w="750" w:type="dxa"/>
            <w:vAlign w:val="center"/>
          </w:tcPr>
          <w:p>
            <w:pPr>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JD-106-03</w:t>
            </w:r>
          </w:p>
        </w:tc>
        <w:tc>
          <w:tcPr>
            <w:tcW w:w="675" w:type="dxa"/>
            <w:tcMar>
              <w:left w:w="0" w:type="dxa"/>
              <w:right w:w="0" w:type="dxa"/>
            </w:tcMar>
            <w:vAlign w:val="center"/>
          </w:tcPr>
          <w:p>
            <w:pPr>
              <w:jc w:val="center"/>
              <w:rPr>
                <w:rFonts w:hint="eastAsia" w:ascii="仿宋_GB2312" w:hAnsi="Times New Roman" w:eastAsia="仿宋_GB2312"/>
                <w:szCs w:val="21"/>
              </w:rPr>
            </w:pPr>
            <w:r>
              <w:rPr>
                <w:rFonts w:hint="eastAsia" w:ascii="仿宋_GB2312" w:hAnsi="Times New Roman" w:eastAsia="仿宋_GB2312"/>
                <w:szCs w:val="21"/>
                <w:lang w:eastAsia="zh-CN"/>
              </w:rPr>
              <w:t>一类工业用地</w:t>
            </w:r>
          </w:p>
        </w:tc>
        <w:tc>
          <w:tcPr>
            <w:tcW w:w="774" w:type="dxa"/>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53068</w:t>
            </w:r>
          </w:p>
        </w:tc>
        <w:tc>
          <w:tcPr>
            <w:tcW w:w="948" w:type="dxa"/>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65365</w:t>
            </w:r>
          </w:p>
        </w:tc>
        <w:tc>
          <w:tcPr>
            <w:tcW w:w="720" w:type="dxa"/>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≥30</w:t>
            </w:r>
          </w:p>
        </w:tc>
        <w:tc>
          <w:tcPr>
            <w:tcW w:w="1233" w:type="dxa"/>
            <w:vAlign w:val="center"/>
          </w:tcPr>
          <w:p>
            <w:pPr>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1.8-3.5</w:t>
            </w:r>
          </w:p>
        </w:tc>
        <w:tc>
          <w:tcPr>
            <w:tcW w:w="1605" w:type="dxa"/>
            <w:vAlign w:val="center"/>
          </w:tcPr>
          <w:p>
            <w:pPr>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117657-228777</w:t>
            </w:r>
          </w:p>
        </w:tc>
        <w:tc>
          <w:tcPr>
            <w:tcW w:w="885" w:type="dxa"/>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每100平方米计容积率面积≥1个</w:t>
            </w:r>
          </w:p>
        </w:tc>
        <w:tc>
          <w:tcPr>
            <w:tcW w:w="857" w:type="dxa"/>
            <w:vAlign w:val="center"/>
          </w:tcPr>
          <w:p>
            <w:pPr>
              <w:jc w:val="both"/>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15-20</w:t>
            </w:r>
          </w:p>
        </w:tc>
        <w:tc>
          <w:tcPr>
            <w:tcW w:w="708" w:type="dxa"/>
            <w:vAlign w:val="center"/>
          </w:tcPr>
          <w:p>
            <w:pPr>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工业厂房及配套设施</w:t>
            </w:r>
          </w:p>
        </w:tc>
        <w:tc>
          <w:tcPr>
            <w:tcW w:w="670" w:type="dxa"/>
            <w:vAlign w:val="center"/>
          </w:tcPr>
          <w:p>
            <w:pPr>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50年</w:t>
            </w:r>
          </w:p>
          <w:p>
            <w:pPr>
              <w:jc w:val="center"/>
              <w:rPr>
                <w:rFonts w:hint="eastAsia" w:ascii="仿宋_GB2312" w:hAnsi="Times New Roman" w:eastAsia="仿宋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705" w:type="dxa"/>
            <w:vMerge w:val="continue"/>
            <w:tcMar>
              <w:left w:w="0" w:type="dxa"/>
              <w:right w:w="0" w:type="dxa"/>
            </w:tcMar>
            <w:vAlign w:val="center"/>
          </w:tcPr>
          <w:p>
            <w:pPr>
              <w:jc w:val="center"/>
              <w:rPr>
                <w:rFonts w:hint="eastAsia" w:ascii="仿宋_GB2312" w:hAnsi="Times New Roman" w:eastAsia="仿宋_GB2312"/>
                <w:szCs w:val="21"/>
              </w:rPr>
            </w:pPr>
          </w:p>
        </w:tc>
        <w:tc>
          <w:tcPr>
            <w:tcW w:w="450" w:type="dxa"/>
            <w:vMerge w:val="continue"/>
            <w:vAlign w:val="center"/>
          </w:tcPr>
          <w:p>
            <w:pPr>
              <w:jc w:val="center"/>
              <w:rPr>
                <w:rFonts w:hint="eastAsia" w:ascii="仿宋_GB2312" w:hAnsi="Times New Roman" w:eastAsia="仿宋_GB2312"/>
                <w:szCs w:val="21"/>
                <w:lang w:val="en-US" w:eastAsia="zh-CN"/>
              </w:rPr>
            </w:pPr>
          </w:p>
        </w:tc>
        <w:tc>
          <w:tcPr>
            <w:tcW w:w="750" w:type="dxa"/>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JD-112-02</w:t>
            </w:r>
          </w:p>
        </w:tc>
        <w:tc>
          <w:tcPr>
            <w:tcW w:w="675" w:type="dxa"/>
            <w:tcMar>
              <w:left w:w="0" w:type="dxa"/>
              <w:right w:w="0" w:type="dxa"/>
            </w:tcMar>
            <w:vAlign w:val="center"/>
          </w:tcPr>
          <w:p>
            <w:pPr>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eastAsia="zh-CN"/>
              </w:rPr>
              <w:t>一类工业用地</w:t>
            </w:r>
          </w:p>
        </w:tc>
        <w:tc>
          <w:tcPr>
            <w:tcW w:w="774" w:type="dxa"/>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51524</w:t>
            </w:r>
          </w:p>
        </w:tc>
        <w:tc>
          <w:tcPr>
            <w:tcW w:w="948" w:type="dxa"/>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65856</w:t>
            </w:r>
          </w:p>
        </w:tc>
        <w:tc>
          <w:tcPr>
            <w:tcW w:w="720" w:type="dxa"/>
            <w:vAlign w:val="center"/>
          </w:tcPr>
          <w:p>
            <w:pPr>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≥30</w:t>
            </w:r>
          </w:p>
        </w:tc>
        <w:tc>
          <w:tcPr>
            <w:tcW w:w="1233" w:type="dxa"/>
            <w:vAlign w:val="center"/>
          </w:tcPr>
          <w:p>
            <w:pPr>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1.8-3.5</w:t>
            </w:r>
          </w:p>
        </w:tc>
        <w:tc>
          <w:tcPr>
            <w:tcW w:w="1605" w:type="dxa"/>
            <w:vAlign w:val="center"/>
          </w:tcPr>
          <w:p>
            <w:pPr>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118541-230496</w:t>
            </w:r>
          </w:p>
        </w:tc>
        <w:tc>
          <w:tcPr>
            <w:tcW w:w="885" w:type="dxa"/>
            <w:vAlign w:val="center"/>
          </w:tcPr>
          <w:p>
            <w:pPr>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每100平方米计容积率面积≥1个</w:t>
            </w:r>
          </w:p>
        </w:tc>
        <w:tc>
          <w:tcPr>
            <w:tcW w:w="857" w:type="dxa"/>
            <w:vAlign w:val="center"/>
          </w:tcPr>
          <w:p>
            <w:pPr>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15-20</w:t>
            </w:r>
          </w:p>
        </w:tc>
        <w:tc>
          <w:tcPr>
            <w:tcW w:w="708" w:type="dxa"/>
            <w:vAlign w:val="center"/>
          </w:tcPr>
          <w:p>
            <w:pPr>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工业厂房及配套设施</w:t>
            </w:r>
          </w:p>
        </w:tc>
        <w:tc>
          <w:tcPr>
            <w:tcW w:w="670" w:type="dxa"/>
            <w:vAlign w:val="center"/>
          </w:tcPr>
          <w:p>
            <w:pPr>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50年</w:t>
            </w:r>
          </w:p>
          <w:p>
            <w:pPr>
              <w:jc w:val="center"/>
              <w:rPr>
                <w:rFonts w:hint="eastAsia" w:ascii="仿宋_GB2312" w:hAnsi="Times New Roman" w:eastAsia="仿宋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705" w:type="dxa"/>
            <w:vMerge w:val="continue"/>
            <w:tcMar>
              <w:left w:w="0" w:type="dxa"/>
              <w:right w:w="0" w:type="dxa"/>
            </w:tcMar>
            <w:vAlign w:val="center"/>
          </w:tcPr>
          <w:p>
            <w:pPr>
              <w:jc w:val="center"/>
              <w:rPr>
                <w:rFonts w:hint="eastAsia" w:ascii="仿宋_GB2312" w:hAnsi="Times New Roman" w:eastAsia="仿宋_GB2312"/>
                <w:szCs w:val="21"/>
              </w:rPr>
            </w:pPr>
          </w:p>
        </w:tc>
        <w:tc>
          <w:tcPr>
            <w:tcW w:w="450" w:type="dxa"/>
            <w:vMerge w:val="continue"/>
            <w:vAlign w:val="center"/>
          </w:tcPr>
          <w:p>
            <w:pPr>
              <w:jc w:val="center"/>
              <w:rPr>
                <w:rFonts w:hint="eastAsia" w:ascii="仿宋_GB2312" w:hAnsi="Times New Roman" w:eastAsia="仿宋_GB2312"/>
                <w:szCs w:val="21"/>
                <w:lang w:val="en-US" w:eastAsia="zh-CN"/>
              </w:rPr>
            </w:pPr>
          </w:p>
        </w:tc>
        <w:tc>
          <w:tcPr>
            <w:tcW w:w="750" w:type="dxa"/>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JD-112-04</w:t>
            </w:r>
          </w:p>
        </w:tc>
        <w:tc>
          <w:tcPr>
            <w:tcW w:w="675" w:type="dxa"/>
            <w:tcMar>
              <w:left w:w="0" w:type="dxa"/>
              <w:right w:w="0" w:type="dxa"/>
            </w:tcMar>
            <w:vAlign w:val="center"/>
          </w:tcPr>
          <w:p>
            <w:pPr>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eastAsia="zh-CN"/>
              </w:rPr>
              <w:t>一类工业用地</w:t>
            </w:r>
          </w:p>
        </w:tc>
        <w:tc>
          <w:tcPr>
            <w:tcW w:w="774" w:type="dxa"/>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33205</w:t>
            </w:r>
          </w:p>
        </w:tc>
        <w:tc>
          <w:tcPr>
            <w:tcW w:w="948" w:type="dxa"/>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44298</w:t>
            </w:r>
          </w:p>
        </w:tc>
        <w:tc>
          <w:tcPr>
            <w:tcW w:w="720" w:type="dxa"/>
            <w:vAlign w:val="center"/>
          </w:tcPr>
          <w:p>
            <w:pPr>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≥30</w:t>
            </w:r>
          </w:p>
        </w:tc>
        <w:tc>
          <w:tcPr>
            <w:tcW w:w="1233" w:type="dxa"/>
            <w:vAlign w:val="center"/>
          </w:tcPr>
          <w:p>
            <w:pPr>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1.8-3.5</w:t>
            </w:r>
          </w:p>
        </w:tc>
        <w:tc>
          <w:tcPr>
            <w:tcW w:w="1605" w:type="dxa"/>
            <w:vAlign w:val="center"/>
          </w:tcPr>
          <w:p>
            <w:pPr>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79737-155043</w:t>
            </w:r>
          </w:p>
        </w:tc>
        <w:tc>
          <w:tcPr>
            <w:tcW w:w="885" w:type="dxa"/>
            <w:vAlign w:val="center"/>
          </w:tcPr>
          <w:p>
            <w:pPr>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每100平方米计容积率面积≥1个</w:t>
            </w:r>
          </w:p>
        </w:tc>
        <w:tc>
          <w:tcPr>
            <w:tcW w:w="857" w:type="dxa"/>
            <w:vAlign w:val="center"/>
          </w:tcPr>
          <w:p>
            <w:pPr>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15-20</w:t>
            </w:r>
          </w:p>
        </w:tc>
        <w:tc>
          <w:tcPr>
            <w:tcW w:w="708" w:type="dxa"/>
            <w:vAlign w:val="center"/>
          </w:tcPr>
          <w:p>
            <w:pPr>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工业厂房及配套设施</w:t>
            </w:r>
          </w:p>
        </w:tc>
        <w:tc>
          <w:tcPr>
            <w:tcW w:w="670" w:type="dxa"/>
            <w:vAlign w:val="center"/>
          </w:tcPr>
          <w:p>
            <w:pPr>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50年</w:t>
            </w:r>
          </w:p>
          <w:p>
            <w:pPr>
              <w:jc w:val="center"/>
              <w:rPr>
                <w:rFonts w:hint="eastAsia" w:ascii="仿宋_GB2312" w:hAnsi="Times New Roman" w:eastAsia="仿宋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705" w:type="dxa"/>
            <w:vMerge w:val="continue"/>
            <w:tcMar>
              <w:left w:w="0" w:type="dxa"/>
              <w:right w:w="0" w:type="dxa"/>
            </w:tcMar>
            <w:vAlign w:val="center"/>
          </w:tcPr>
          <w:p>
            <w:pPr>
              <w:jc w:val="center"/>
              <w:rPr>
                <w:rFonts w:hint="eastAsia" w:ascii="仿宋_GB2312" w:hAnsi="Times New Roman" w:eastAsia="仿宋_GB2312"/>
                <w:szCs w:val="21"/>
              </w:rPr>
            </w:pPr>
          </w:p>
        </w:tc>
        <w:tc>
          <w:tcPr>
            <w:tcW w:w="450" w:type="dxa"/>
            <w:vMerge w:val="continue"/>
            <w:vAlign w:val="center"/>
          </w:tcPr>
          <w:p>
            <w:pPr>
              <w:jc w:val="center"/>
              <w:rPr>
                <w:rFonts w:hint="eastAsia" w:ascii="仿宋_GB2312" w:hAnsi="Times New Roman" w:eastAsia="仿宋_GB2312"/>
                <w:szCs w:val="21"/>
                <w:lang w:val="en-US" w:eastAsia="zh-CN"/>
              </w:rPr>
            </w:pPr>
          </w:p>
        </w:tc>
        <w:tc>
          <w:tcPr>
            <w:tcW w:w="750" w:type="dxa"/>
            <w:vAlign w:val="center"/>
          </w:tcPr>
          <w:p>
            <w:pPr>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JD-117-14</w:t>
            </w:r>
          </w:p>
        </w:tc>
        <w:tc>
          <w:tcPr>
            <w:tcW w:w="675" w:type="dxa"/>
            <w:tcMar>
              <w:left w:w="0" w:type="dxa"/>
              <w:right w:w="0" w:type="dxa"/>
            </w:tcMar>
            <w:vAlign w:val="center"/>
          </w:tcPr>
          <w:p>
            <w:pPr>
              <w:jc w:val="center"/>
              <w:rPr>
                <w:rFonts w:hint="eastAsia" w:ascii="仿宋_GB2312" w:hAnsi="Times New Roman" w:eastAsia="仿宋_GB2312"/>
                <w:szCs w:val="21"/>
                <w:lang w:eastAsia="zh-CN"/>
              </w:rPr>
            </w:pPr>
            <w:r>
              <w:rPr>
                <w:rFonts w:hint="eastAsia" w:ascii="仿宋_GB2312" w:hAnsi="Times New Roman" w:eastAsia="仿宋_GB2312"/>
                <w:szCs w:val="21"/>
                <w:lang w:eastAsia="zh-CN"/>
              </w:rPr>
              <w:t>一类工业用地</w:t>
            </w:r>
          </w:p>
        </w:tc>
        <w:tc>
          <w:tcPr>
            <w:tcW w:w="774" w:type="dxa"/>
            <w:vAlign w:val="center"/>
          </w:tcPr>
          <w:p>
            <w:pPr>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57194</w:t>
            </w:r>
          </w:p>
        </w:tc>
        <w:tc>
          <w:tcPr>
            <w:tcW w:w="948" w:type="dxa"/>
            <w:vAlign w:val="center"/>
          </w:tcPr>
          <w:p>
            <w:pPr>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76103</w:t>
            </w:r>
          </w:p>
        </w:tc>
        <w:tc>
          <w:tcPr>
            <w:tcW w:w="720" w:type="dxa"/>
            <w:vAlign w:val="center"/>
          </w:tcPr>
          <w:p>
            <w:pPr>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≥30</w:t>
            </w:r>
          </w:p>
        </w:tc>
        <w:tc>
          <w:tcPr>
            <w:tcW w:w="1233" w:type="dxa"/>
            <w:vAlign w:val="center"/>
          </w:tcPr>
          <w:p>
            <w:pPr>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1.8-3.5</w:t>
            </w:r>
          </w:p>
        </w:tc>
        <w:tc>
          <w:tcPr>
            <w:tcW w:w="1605" w:type="dxa"/>
            <w:vAlign w:val="center"/>
          </w:tcPr>
          <w:p>
            <w:pPr>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136986-266360</w:t>
            </w:r>
          </w:p>
        </w:tc>
        <w:tc>
          <w:tcPr>
            <w:tcW w:w="885" w:type="dxa"/>
            <w:vAlign w:val="center"/>
          </w:tcPr>
          <w:p>
            <w:pPr>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每100平方米计容积率面积≥1个</w:t>
            </w:r>
          </w:p>
        </w:tc>
        <w:tc>
          <w:tcPr>
            <w:tcW w:w="857" w:type="dxa"/>
            <w:vAlign w:val="center"/>
          </w:tcPr>
          <w:p>
            <w:pPr>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15-20</w:t>
            </w:r>
          </w:p>
        </w:tc>
        <w:tc>
          <w:tcPr>
            <w:tcW w:w="708" w:type="dxa"/>
            <w:vAlign w:val="center"/>
          </w:tcPr>
          <w:p>
            <w:pPr>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工业厂房及配套设施</w:t>
            </w:r>
          </w:p>
        </w:tc>
        <w:tc>
          <w:tcPr>
            <w:tcW w:w="670" w:type="dxa"/>
            <w:vAlign w:val="center"/>
          </w:tcPr>
          <w:p>
            <w:pPr>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50年</w:t>
            </w:r>
          </w:p>
        </w:tc>
      </w:tr>
    </w:tbl>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abstractNum w:abstractNumId="1">
    <w:nsid w:val="11AEA62B"/>
    <w:multiLevelType w:val="singleLevel"/>
    <w:tmpl w:val="11AEA62B"/>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415D2"/>
    <w:rsid w:val="0E7A65F6"/>
    <w:rsid w:val="10BD4DFA"/>
    <w:rsid w:val="12912122"/>
    <w:rsid w:val="167673A1"/>
    <w:rsid w:val="17AA0480"/>
    <w:rsid w:val="188D227F"/>
    <w:rsid w:val="1A0B2C56"/>
    <w:rsid w:val="1D4423DE"/>
    <w:rsid w:val="1E862B6D"/>
    <w:rsid w:val="20ED2229"/>
    <w:rsid w:val="22890C8D"/>
    <w:rsid w:val="23BF3D0B"/>
    <w:rsid w:val="28774868"/>
    <w:rsid w:val="29284D69"/>
    <w:rsid w:val="304C7078"/>
    <w:rsid w:val="35335FA2"/>
    <w:rsid w:val="36061489"/>
    <w:rsid w:val="38BD14D1"/>
    <w:rsid w:val="3F4912B9"/>
    <w:rsid w:val="40230608"/>
    <w:rsid w:val="40363F40"/>
    <w:rsid w:val="43706132"/>
    <w:rsid w:val="45300F52"/>
    <w:rsid w:val="49205A27"/>
    <w:rsid w:val="4C6B34BE"/>
    <w:rsid w:val="4E9251A1"/>
    <w:rsid w:val="51E0686D"/>
    <w:rsid w:val="5AF873B7"/>
    <w:rsid w:val="5D2260A7"/>
    <w:rsid w:val="692A6240"/>
    <w:rsid w:val="6EB83079"/>
    <w:rsid w:val="71E23620"/>
    <w:rsid w:val="734C52B3"/>
    <w:rsid w:val="761352C3"/>
    <w:rsid w:val="76CB444F"/>
    <w:rsid w:val="782B392E"/>
    <w:rsid w:val="7D060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黄春枚</cp:lastModifiedBy>
  <cp:lastPrinted>2020-10-21T02:27:00Z</cp:lastPrinted>
  <dcterms:modified xsi:type="dcterms:W3CDTF">2020-10-23T02:10:57Z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