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ascii="仿宋_GB2312" w:eastAsia="仿宋_GB2312" w:cs="仿宋_GB2312"/>
          <w:sz w:val="18"/>
          <w:szCs w:val="18"/>
        </w:rPr>
      </w:pPr>
      <w:r>
        <w:rPr>
          <w:rFonts w:hint="eastAsia" w:ascii="仿宋_GB2312" w:hAnsi="仿宋_GB2312" w:eastAsia="仿宋_GB2312" w:cs="仿宋_GB2312"/>
          <w:sz w:val="32"/>
        </w:rPr>
        <w:t>惠公易土市直[20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]0</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号</w:t>
      </w:r>
    </w:p>
    <w:p>
      <w:pPr>
        <w:spacing w:line="520" w:lineRule="exact"/>
        <w:rPr>
          <w:rFonts w:ascii="仿宋_GB2312" w:eastAsia="仿宋_GB2312"/>
          <w:sz w:val="18"/>
          <w:szCs w:val="18"/>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州市人民政府批准，惠州市自然资源局决定以网上挂牌方式出让下列一宗国有建设用地使用权，本次国有建设用地使用权网上挂牌出让交易具体事务委托惠州市公共资源交易中心办理。现将有关事项公告如下：</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ascii="仿宋_GB2312" w:hAnsi="仿宋" w:eastAsia="仿宋_GB2312"/>
          <w:sz w:val="32"/>
          <w:szCs w:val="32"/>
        </w:rPr>
        <w:t>4430</w:t>
      </w:r>
      <w:r>
        <w:rPr>
          <w:rFonts w:hint="eastAsia" w:ascii="仿宋_GB2312" w:hAnsi="仿宋_GB2312" w:eastAsia="仿宋_GB2312" w:cs="仿宋_GB2312"/>
          <w:sz w:val="32"/>
          <w:szCs w:val="32"/>
        </w:rPr>
        <w:t>万元,每次报价加价幅度为人民币10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万元的整数倍。</w:t>
      </w:r>
    </w:p>
    <w:p>
      <w:pPr>
        <w:spacing w:line="52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四、中华人民共和国境内外的法人、自然人和其他组织（除法律法规另有规定外）均可申请参加竞买。申请人可以单独申请，也可以联合申请：</w:t>
      </w:r>
    </w:p>
    <w:p>
      <w:pPr>
        <w:pStyle w:val="2"/>
        <w:widowControl w:val="0"/>
        <w:spacing w:line="520" w:lineRule="exact"/>
        <w:jc w:val="both"/>
        <w:rPr>
          <w:rFonts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出让合同》，在竞得人按约定办理完新公司注册登记手续后，再与新公司签订《国有建设用地使用权出让合同变更协议》；也可按约定直接与新公司签订《出让合同》。</w:t>
      </w:r>
    </w:p>
    <w:p>
      <w:pPr>
        <w:pStyle w:val="2"/>
        <w:widowControl w:val="0"/>
        <w:spacing w:line="520" w:lineRule="exact"/>
        <w:jc w:val="both"/>
        <w:rPr>
          <w:rFonts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2"/>
        <w:widowControl w:val="0"/>
        <w:spacing w:line="520" w:lineRule="exact"/>
        <w:jc w:val="both"/>
        <w:rPr>
          <w:rFonts w:hAnsi="仿宋_GB2312" w:cs="仿宋_GB2312"/>
          <w:szCs w:val="32"/>
        </w:rPr>
      </w:pPr>
      <w:r>
        <w:rPr>
          <w:rFonts w:hint="eastAsia" w:hAnsi="仿宋_GB2312" w:cs="仿宋_GB2312"/>
          <w:szCs w:val="32"/>
        </w:rPr>
        <w:t>五、该宗地竞买保证金可用人民币及外币（暂限于美元、港币）支付。</w:t>
      </w:r>
    </w:p>
    <w:p>
      <w:pPr>
        <w:pStyle w:val="2"/>
        <w:widowControl w:val="0"/>
        <w:spacing w:before="0" w:line="520" w:lineRule="exact"/>
        <w:jc w:val="both"/>
        <w:rPr>
          <w:rFonts w:hAnsi="仿宋_GB2312" w:cs="仿宋_GB2312"/>
          <w:szCs w:val="32"/>
        </w:rPr>
      </w:pPr>
      <w:r>
        <w:rPr>
          <w:rFonts w:hint="eastAsia" w:hAnsi="仿宋_GB2312" w:cs="仿宋_GB2312"/>
          <w:szCs w:val="32"/>
        </w:rPr>
        <w:t>六、申请人应具备的其他条件：</w:t>
      </w:r>
    </w:p>
    <w:p>
      <w:pPr>
        <w:pStyle w:val="2"/>
        <w:widowControl w:val="0"/>
        <w:spacing w:line="520" w:lineRule="exact"/>
        <w:jc w:val="both"/>
        <w:rPr>
          <w:rFonts w:hAnsi="仿宋_GB2312" w:cs="仿宋_GB2312"/>
          <w:szCs w:val="32"/>
        </w:rPr>
      </w:pPr>
      <w:r>
        <w:rPr>
          <w:rFonts w:hint="eastAsia" w:hAnsi="仿宋_GB2312" w:cs="仿宋_GB2312"/>
          <w:szCs w:val="32"/>
        </w:rPr>
        <w:t>（一）缴交竞买保证金</w:t>
      </w:r>
      <w:r>
        <w:rPr>
          <w:rFonts w:hAnsi="仿宋"/>
          <w:kern w:val="2"/>
          <w:szCs w:val="32"/>
        </w:rPr>
        <w:t>1329</w:t>
      </w:r>
      <w:r>
        <w:rPr>
          <w:rFonts w:hint="eastAsia" w:hAnsi="仿宋_GB2312" w:cs="仿宋_GB2312"/>
          <w:szCs w:val="32"/>
        </w:rPr>
        <w:t>万元人民币，如以外币缴交竞买保证金的，须缴交美元</w:t>
      </w:r>
      <w:r>
        <w:rPr>
          <w:rFonts w:hAnsi="仿宋_GB2312" w:cs="仿宋_GB2312"/>
          <w:szCs w:val="32"/>
        </w:rPr>
        <w:t>189</w:t>
      </w:r>
      <w:r>
        <w:rPr>
          <w:rFonts w:hint="eastAsia" w:hAnsi="仿宋_GB2312" w:cs="仿宋_GB2312"/>
          <w:szCs w:val="32"/>
        </w:rPr>
        <w:t>万元或港币</w:t>
      </w:r>
      <w:r>
        <w:rPr>
          <w:rFonts w:hint="eastAsia" w:hAnsi="仿宋" w:cs="仿宋_GB2312"/>
          <w:color w:val="000000"/>
          <w:szCs w:val="32"/>
        </w:rPr>
        <w:t>1482</w:t>
      </w:r>
      <w:r>
        <w:rPr>
          <w:rFonts w:hint="eastAsia" w:hAnsi="仿宋_GB2312" w:cs="仿宋_GB2312"/>
          <w:szCs w:val="32"/>
        </w:rPr>
        <w:t>万元。</w:t>
      </w:r>
    </w:p>
    <w:p>
      <w:pPr>
        <w:pStyle w:val="2"/>
        <w:widowControl w:val="0"/>
        <w:spacing w:line="520" w:lineRule="exact"/>
        <w:jc w:val="both"/>
        <w:rPr>
          <w:rFonts w:hAnsi="仿宋_GB2312" w:cs="仿宋_GB2312"/>
          <w:szCs w:val="32"/>
        </w:rPr>
      </w:pPr>
      <w:r>
        <w:rPr>
          <w:rFonts w:hint="eastAsia" w:hAnsi="仿宋_GB2312" w:cs="仿宋_GB2312"/>
          <w:szCs w:val="32"/>
        </w:rPr>
        <w:t>（二）根据《规划设计条件告知书》（案卷编号：PBS20190001）和《关于PBS20190001号规划设计条件告知书的补充说明》，该宗地属于惠南大道SDOl-01-14-01地块“三旧”改造项目用地中的一部分，按政策规定须公开挂牌出让。该用地不具备单独开发建设条件，应与相邻改造项目用地统一规划、统一设计、统一建设。</w:t>
      </w:r>
    </w:p>
    <w:p>
      <w:pPr>
        <w:pStyle w:val="2"/>
        <w:widowControl w:val="0"/>
        <w:spacing w:line="520" w:lineRule="exact"/>
        <w:jc w:val="both"/>
        <w:rPr>
          <w:rFonts w:hAnsi="仿宋_GB2312" w:cs="仿宋_GB2312"/>
          <w:szCs w:val="32"/>
        </w:rPr>
      </w:pPr>
      <w:r>
        <w:rPr>
          <w:rFonts w:hAnsi="仿宋_GB2312" w:cs="仿宋_GB2312"/>
          <w:szCs w:val="32"/>
        </w:rPr>
        <w:t xml:space="preserve"> (</w:t>
      </w:r>
      <w:r>
        <w:rPr>
          <w:rFonts w:hint="eastAsia" w:hAnsi="仿宋_GB2312" w:cs="仿宋_GB2312"/>
          <w:szCs w:val="32"/>
        </w:rPr>
        <w:t>三）存在下列违法违规违约行为之一的企业及其控股股东，不得参与竞买上述地块：</w:t>
      </w:r>
    </w:p>
    <w:p>
      <w:pPr>
        <w:pStyle w:val="2"/>
        <w:widowControl w:val="0"/>
        <w:spacing w:line="520" w:lineRule="exact"/>
        <w:jc w:val="both"/>
        <w:rPr>
          <w:rFonts w:hAnsi="仿宋_GB2312" w:cs="仿宋_GB2312"/>
          <w:szCs w:val="32"/>
        </w:rPr>
      </w:pPr>
      <w:r>
        <w:rPr>
          <w:rFonts w:hint="eastAsia" w:hAnsi="仿宋_GB2312" w:cs="仿宋_GB2312"/>
          <w:szCs w:val="32"/>
        </w:rPr>
        <w:t>1、存在伪造公文骗取用地和非法倒卖土地等犯罪行为的；</w:t>
      </w:r>
    </w:p>
    <w:p>
      <w:pPr>
        <w:pStyle w:val="2"/>
        <w:widowControl w:val="0"/>
        <w:spacing w:line="520" w:lineRule="exact"/>
        <w:jc w:val="both"/>
        <w:rPr>
          <w:rFonts w:hAnsi="仿宋_GB2312" w:cs="仿宋_GB2312"/>
          <w:szCs w:val="32"/>
        </w:rPr>
      </w:pPr>
      <w:r>
        <w:rPr>
          <w:rFonts w:hint="eastAsia" w:hAnsi="仿宋_GB2312" w:cs="仿宋_GB2312"/>
          <w:szCs w:val="32"/>
        </w:rPr>
        <w:t>2、存在非法转让土地使用权等违法行为的；</w:t>
      </w:r>
    </w:p>
    <w:p>
      <w:pPr>
        <w:pStyle w:val="2"/>
        <w:widowControl w:val="0"/>
        <w:spacing w:line="520" w:lineRule="exact"/>
        <w:jc w:val="both"/>
        <w:rPr>
          <w:rFonts w:hAnsi="仿宋_GB2312" w:cs="仿宋_GB2312"/>
          <w:szCs w:val="32"/>
        </w:rPr>
      </w:pPr>
      <w:r>
        <w:rPr>
          <w:rFonts w:hint="eastAsia" w:hAnsi="仿宋_GB2312" w:cs="仿宋_GB2312"/>
          <w:szCs w:val="32"/>
        </w:rPr>
        <w:t>3、因企业原因造成土地闲置一年以上且至报名日止未处罚完结的；</w:t>
      </w:r>
    </w:p>
    <w:p>
      <w:pPr>
        <w:pStyle w:val="2"/>
        <w:widowControl w:val="0"/>
        <w:spacing w:line="520" w:lineRule="exact"/>
        <w:jc w:val="both"/>
        <w:rPr>
          <w:rFonts w:hAnsi="仿宋_GB2312" w:cs="仿宋_GB2312"/>
          <w:szCs w:val="32"/>
        </w:rPr>
      </w:pPr>
      <w:r>
        <w:rPr>
          <w:rFonts w:hint="eastAsia" w:hAnsi="仿宋_GB2312" w:cs="仿宋_GB2312"/>
          <w:szCs w:val="32"/>
        </w:rPr>
        <w:t>4、开发建设企业有违背出让合同约定条件开发利用土地情形且至报名日止未处罚完结的；</w:t>
      </w:r>
    </w:p>
    <w:p>
      <w:pPr>
        <w:pStyle w:val="2"/>
        <w:widowControl w:val="0"/>
        <w:spacing w:line="520" w:lineRule="exact"/>
        <w:jc w:val="both"/>
        <w:rPr>
          <w:rFonts w:hAnsi="仿宋_GB2312" w:cs="仿宋_GB2312"/>
          <w:szCs w:val="32"/>
        </w:rPr>
      </w:pPr>
      <w:r>
        <w:rPr>
          <w:rFonts w:hint="eastAsia" w:hAnsi="仿宋_GB2312" w:cs="仿宋_GB2312"/>
          <w:szCs w:val="32"/>
        </w:rPr>
        <w:t>5、至报名日止仍拖欠政府地价款的;</w:t>
      </w:r>
    </w:p>
    <w:p>
      <w:pPr>
        <w:pStyle w:val="2"/>
        <w:widowControl w:val="0"/>
        <w:spacing w:line="520" w:lineRule="exact"/>
        <w:jc w:val="both"/>
        <w:rPr>
          <w:rFonts w:hAnsi="仿宋_GB2312" w:cs="仿宋_GB2312"/>
          <w:szCs w:val="32"/>
        </w:rPr>
      </w:pPr>
      <w:r>
        <w:rPr>
          <w:rFonts w:hint="eastAsia" w:hAnsi="仿宋_GB2312" w:cs="仿宋_GB2312"/>
          <w:szCs w:val="32"/>
        </w:rPr>
        <w:t>6、被列入问题楼盘开发企业黑名单的;</w:t>
      </w:r>
    </w:p>
    <w:p>
      <w:pPr>
        <w:pStyle w:val="2"/>
        <w:widowControl w:val="0"/>
        <w:spacing w:line="520" w:lineRule="exact"/>
        <w:jc w:val="both"/>
        <w:rPr>
          <w:rFonts w:hAnsi="仿宋_GB2312" w:cs="仿宋_GB2312"/>
          <w:szCs w:val="32"/>
        </w:rPr>
      </w:pPr>
      <w:r>
        <w:rPr>
          <w:rFonts w:hint="eastAsia" w:hAnsi="仿宋_GB2312" w:cs="仿宋_GB2312"/>
          <w:szCs w:val="32"/>
        </w:rPr>
        <w:t>7、存在其它被禁止竞买土地行为的。</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七、本次国有建设用地使用权网上挂牌出让为无底价挂牌出让，按照价高者得的原则确定竞得人。</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八、本次网上挂牌出让的详细资料和具体要求，见惠州市公共资源交易中心土地与矿业网上挂牌交易系统（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九、有意竞买者可以自行到地块现场踏勘（可在网上挂牌交易系统查阅位置图和现状图）。</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十、申请人应当在网上挂牌出让结束前登陆惠州市公共资源交易中心土地与矿业网上挂牌交易系统并在系统上向惠州市公共资源交易中心提交竞买申请并支付保证金。网上挂牌保证金到账截止时间为20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一、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十二、竞得人签订《成交确认书》后，缴交的保证金中按成交价的10%转作定金，竞得人签订《出让合同》后，定金转作土地出让价款。</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以外币缴纳土地竞买保证金的，成交确认后，将在竞得人支付的外币保证金中扣除成交价款的10%（按成交当日汇率结汇）作为受让地块的定金，其余部分原路返回给竞得人，待竞得人按时缴清地价款后，再将定金退回。</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保证金少于成交价10%的，不足部分由竞得人在签订《成交确认书》之日起5个工作日内付清。</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十三、其它需要公告的事项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ascii="仿宋_GB2312" w:hAnsi="仿宋" w:eastAsia="仿宋_GB2312"/>
          <w:sz w:val="32"/>
          <w:szCs w:val="32"/>
        </w:rPr>
        <w:t>6837</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（四）竞得人有下列行为之一的，视为违约，取消竞得人资格，没收保证金,并由有关部门依法处理;造成损失的，竞得人还应依法承担赔偿责任：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）挂牌出让价款不含应由竞得人缴纳的契税、印花税等有关费用。</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十四、该宗地使用网上挂牌方式出让，交易全程适用《惠州市国有建设用地使用权和矿业权电子挂牌交易规则》（惠府〔</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167号）。</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联系地址：广东省惠州市江北文华一路2号大隆大厦6楼</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袁小姐、黄小姐</w:t>
      </w:r>
    </w:p>
    <w:p>
      <w:pPr>
        <w:spacing w:line="52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0752）7121026、7121042</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fldChar w:fldCharType="begin"/>
      </w:r>
      <w:r>
        <w:instrText xml:space="preserve"> HYPERLINK "http://www.landgd.com" </w:instrText>
      </w:r>
      <w: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fldChar w:fldCharType="begin"/>
      </w:r>
      <w:r>
        <w:instrText xml:space="preserve"> HYPERLINK "http://zyjy.huizhou.gov.cn" </w:instrText>
      </w:r>
      <w: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spacing w:line="52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惠州日报。</w:t>
      </w:r>
    </w:p>
    <w:p>
      <w:pPr>
        <w:spacing w:line="520" w:lineRule="exact"/>
        <w:ind w:firstLine="555"/>
        <w:rPr>
          <w:rFonts w:ascii="宋体" w:hAnsi="宋体" w:cs="宋体"/>
          <w:color w:val="696969"/>
          <w:sz w:val="32"/>
          <w:szCs w:val="32"/>
        </w:rPr>
      </w:pPr>
      <w:r>
        <w:rPr>
          <w:rFonts w:hint="eastAsia" w:ascii="仿宋_GB2312" w:hAnsi="仿宋_GB2312" w:eastAsia="仿宋_GB2312" w:cs="仿宋_GB2312"/>
          <w:sz w:val="32"/>
          <w:szCs w:val="32"/>
        </w:rPr>
        <w:t>数字证书办理地址：</w:t>
      </w:r>
      <w:r>
        <w:rPr>
          <w:rFonts w:hint="eastAsia" w:ascii="仿宋_GB2312" w:hAnsi="仿宋_GB2312" w:eastAsia="仿宋_GB2312" w:cs="仿宋_GB2312"/>
          <w:color w:val="000000"/>
          <w:sz w:val="32"/>
          <w:szCs w:val="32"/>
        </w:rPr>
        <w:t>惠州市江北云山西路二号帝景国际商务中心七层18-22房。</w:t>
      </w:r>
    </w:p>
    <w:p>
      <w:pPr>
        <w:spacing w:line="520" w:lineRule="exact"/>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联系电话：0752-2898481</w:t>
      </w:r>
    </w:p>
    <w:p>
      <w:pPr>
        <w:spacing w:line="520" w:lineRule="exact"/>
        <w:ind w:right="640"/>
        <w:rPr>
          <w:rFonts w:ascii="仿宋_GB2312" w:hAnsi="仿宋_GB2312" w:eastAsia="仿宋_GB2312" w:cs="仿宋_GB2312"/>
          <w:sz w:val="32"/>
          <w:szCs w:val="32"/>
        </w:rPr>
      </w:pPr>
    </w:p>
    <w:p>
      <w:pPr>
        <w:spacing w:line="520" w:lineRule="exact"/>
        <w:ind w:right="640" w:firstLine="5033" w:firstLineChars="1573"/>
        <w:rPr>
          <w:rFonts w:hint="eastAsia" w:ascii="仿宋_GB2312" w:hAnsi="仿宋_GB2312" w:eastAsia="仿宋_GB2312" w:cs="仿宋_GB2312"/>
          <w:sz w:val="32"/>
          <w:szCs w:val="32"/>
        </w:rPr>
      </w:pPr>
    </w:p>
    <w:p>
      <w:pPr>
        <w:spacing w:line="520" w:lineRule="exact"/>
        <w:ind w:right="640" w:firstLine="5033" w:firstLineChars="1573"/>
        <w:rPr>
          <w:rFonts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w:t>
      </w:r>
    </w:p>
    <w:p>
      <w:pPr>
        <w:spacing w:line="520" w:lineRule="exact"/>
        <w:ind w:right="640" w:firstLine="4640" w:firstLineChars="1450"/>
        <w:rPr>
          <w:rFonts w:ascii="仿宋_GB2312" w:eastAsia="仿宋_GB2312"/>
          <w:sz w:val="32"/>
          <w:szCs w:val="32"/>
        </w:rPr>
      </w:pPr>
      <w:r>
        <w:rPr>
          <w:rFonts w:hint="eastAsia" w:ascii="仿宋_GB2312" w:hAnsi="仿宋_GB2312" w:eastAsia="仿宋_GB2312" w:cs="仿宋_GB2312"/>
          <w:sz w:val="32"/>
          <w:szCs w:val="32"/>
        </w:rPr>
        <w:t>惠州市公共资源交易中心</w:t>
      </w:r>
    </w:p>
    <w:p>
      <w:pPr>
        <w:spacing w:line="360" w:lineRule="auto"/>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2020年4月29</w:t>
      </w:r>
      <w:bookmarkStart w:id="0" w:name="_GoBack"/>
      <w:bookmarkEnd w:id="0"/>
      <w:r>
        <w:rPr>
          <w:rFonts w:hint="eastAsia" w:ascii="仿宋_GB2312" w:eastAsia="仿宋_GB2312"/>
          <w:sz w:val="32"/>
          <w:szCs w:val="32"/>
          <w:lang w:val="en-US" w:eastAsia="zh-CN"/>
        </w:rPr>
        <w:t>日</w:t>
      </w:r>
    </w:p>
    <w:p>
      <w:pPr>
        <w:spacing w:line="360" w:lineRule="auto"/>
        <w:ind w:firstLine="5120" w:firstLineChars="1600"/>
        <w:rPr>
          <w:rFonts w:hint="eastAsia" w:ascii="仿宋_GB2312" w:eastAsia="仿宋_GB2312"/>
          <w:sz w:val="32"/>
          <w:szCs w:val="32"/>
          <w:lang w:val="en-US" w:eastAsia="zh-CN"/>
        </w:rPr>
      </w:pPr>
    </w:p>
    <w:p>
      <w:pPr>
        <w:spacing w:line="360" w:lineRule="auto"/>
        <w:ind w:firstLine="5120" w:firstLineChars="1600"/>
        <w:rPr>
          <w:rFonts w:hint="eastAsia" w:ascii="仿宋_GB2312" w:eastAsia="仿宋_GB2312"/>
          <w:sz w:val="32"/>
          <w:szCs w:val="32"/>
          <w:lang w:val="en-US" w:eastAsia="zh-CN"/>
        </w:rPr>
      </w:pPr>
    </w:p>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ascii="仿宋_GB2312" w:eastAsia="仿宋_GB2312"/>
          <w:sz w:val="32"/>
          <w:szCs w:val="32"/>
        </w:rPr>
      </w:pPr>
      <w:r>
        <w:rPr>
          <w:rFonts w:hint="eastAsia" w:ascii="黑体" w:hAnsi="黑体" w:eastAsia="黑体"/>
          <w:sz w:val="32"/>
          <w:szCs w:val="32"/>
        </w:rPr>
        <w:t>附表</w:t>
      </w:r>
    </w:p>
    <w:p>
      <w:pPr>
        <w:tabs>
          <w:tab w:val="left" w:pos="9720"/>
        </w:tabs>
        <w:spacing w:line="360" w:lineRule="auto"/>
        <w:jc w:val="center"/>
        <w:rPr>
          <w:rFonts w:ascii="方正小标宋_GBK" w:eastAsia="方正小标宋_GBK"/>
          <w:b/>
          <w:sz w:val="36"/>
          <w:szCs w:val="36"/>
        </w:rPr>
      </w:pPr>
      <w:r>
        <w:rPr>
          <w:rFonts w:hint="eastAsia" w:ascii="方正小标宋_GBK" w:eastAsia="方正小标宋_GBK"/>
          <w:b/>
          <w:sz w:val="36"/>
          <w:szCs w:val="36"/>
        </w:rPr>
        <w:t>网上挂牌出让地块规划建设指标</w:t>
      </w:r>
    </w:p>
    <w:tbl>
      <w:tblPr>
        <w:tblStyle w:val="7"/>
        <w:tblW w:w="10710"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20"/>
        <w:gridCol w:w="735"/>
        <w:gridCol w:w="819"/>
        <w:gridCol w:w="948"/>
        <w:gridCol w:w="588"/>
        <w:gridCol w:w="660"/>
        <w:gridCol w:w="1800"/>
        <w:gridCol w:w="1050"/>
        <w:gridCol w:w="720"/>
        <w:gridCol w:w="119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10"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挂牌地块编号</w:t>
            </w:r>
          </w:p>
        </w:tc>
        <w:tc>
          <w:tcPr>
            <w:tcW w:w="720" w:type="dxa"/>
            <w:vMerge w:val="restart"/>
            <w:vAlign w:val="center"/>
          </w:tcPr>
          <w:p>
            <w:pPr>
              <w:spacing w:line="320" w:lineRule="exact"/>
              <w:jc w:val="center"/>
              <w:rPr>
                <w:rFonts w:ascii="仿宋_GB2312" w:eastAsia="仿宋_GB2312"/>
                <w:b/>
                <w:bCs/>
                <w:szCs w:val="21"/>
              </w:rPr>
            </w:pPr>
            <w:r>
              <w:rPr>
                <w:rFonts w:hint="eastAsia" w:ascii="仿宋_GB2312" w:eastAsia="仿宋_GB2312"/>
                <w:b/>
                <w:bCs/>
                <w:szCs w:val="21"/>
              </w:rPr>
              <w:t>土地</w:t>
            </w:r>
          </w:p>
          <w:p>
            <w:pPr>
              <w:spacing w:line="320" w:lineRule="exact"/>
              <w:jc w:val="center"/>
              <w:rPr>
                <w:rFonts w:ascii="仿宋_GB2312" w:eastAsia="仿宋_GB2312"/>
                <w:b/>
                <w:bCs/>
                <w:szCs w:val="21"/>
              </w:rPr>
            </w:pPr>
            <w:r>
              <w:rPr>
                <w:rFonts w:hint="eastAsia" w:ascii="仿宋_GB2312" w:eastAsia="仿宋_GB2312"/>
                <w:b/>
                <w:bCs/>
                <w:szCs w:val="21"/>
              </w:rPr>
              <w:t>位置</w:t>
            </w:r>
          </w:p>
        </w:tc>
        <w:tc>
          <w:tcPr>
            <w:tcW w:w="735"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规划编号</w:t>
            </w:r>
          </w:p>
        </w:tc>
        <w:tc>
          <w:tcPr>
            <w:tcW w:w="819" w:type="dxa"/>
            <w:vMerge w:val="restart"/>
            <w:vAlign w:val="center"/>
          </w:tcPr>
          <w:p>
            <w:pPr>
              <w:adjustRightInd w:val="0"/>
              <w:snapToGrid w:val="0"/>
              <w:spacing w:line="320" w:lineRule="exact"/>
              <w:jc w:val="center"/>
              <w:rPr>
                <w:rFonts w:ascii="仿宋_GB2312" w:eastAsia="仿宋_GB2312"/>
                <w:b/>
                <w:bCs/>
                <w:szCs w:val="21"/>
              </w:rPr>
            </w:pPr>
            <w:r>
              <w:rPr>
                <w:rFonts w:hint="eastAsia" w:ascii="仿宋_GB2312" w:eastAsia="仿宋_GB2312"/>
                <w:b/>
                <w:bCs/>
                <w:szCs w:val="21"/>
              </w:rPr>
              <w:t>土地</w:t>
            </w:r>
          </w:p>
          <w:p>
            <w:pPr>
              <w:spacing w:line="320" w:lineRule="exact"/>
              <w:jc w:val="center"/>
              <w:rPr>
                <w:rFonts w:ascii="仿宋_GB2312" w:eastAsia="仿宋_GB2312"/>
                <w:b/>
                <w:bCs/>
                <w:szCs w:val="21"/>
              </w:rPr>
            </w:pPr>
            <w:r>
              <w:rPr>
                <w:rFonts w:hint="eastAsia" w:ascii="仿宋_GB2312" w:eastAsia="仿宋_GB2312"/>
                <w:b/>
                <w:bCs/>
                <w:szCs w:val="21"/>
              </w:rPr>
              <w:t>用途</w:t>
            </w:r>
          </w:p>
        </w:tc>
        <w:tc>
          <w:tcPr>
            <w:tcW w:w="6956" w:type="dxa"/>
            <w:gridSpan w:val="7"/>
            <w:vAlign w:val="center"/>
          </w:tcPr>
          <w:p>
            <w:pPr>
              <w:adjustRightInd w:val="0"/>
              <w:snapToGrid w:val="0"/>
              <w:spacing w:line="320" w:lineRule="exact"/>
              <w:ind w:leftChars="-89" w:hanging="214" w:hangingChars="89"/>
              <w:jc w:val="center"/>
              <w:rPr>
                <w:rFonts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810" w:type="dxa"/>
            <w:vMerge w:val="continue"/>
            <w:vAlign w:val="center"/>
          </w:tcPr>
          <w:p>
            <w:pPr>
              <w:adjustRightInd w:val="0"/>
              <w:snapToGrid w:val="0"/>
              <w:spacing w:line="320" w:lineRule="exact"/>
              <w:jc w:val="center"/>
              <w:rPr>
                <w:rFonts w:ascii="仿宋_GB2312" w:eastAsia="仿宋_GB2312"/>
                <w:b/>
                <w:bCs/>
              </w:rPr>
            </w:pPr>
          </w:p>
        </w:tc>
        <w:tc>
          <w:tcPr>
            <w:tcW w:w="720" w:type="dxa"/>
            <w:vMerge w:val="continue"/>
            <w:vAlign w:val="center"/>
          </w:tcPr>
          <w:p>
            <w:pPr>
              <w:adjustRightInd w:val="0"/>
              <w:snapToGrid w:val="0"/>
              <w:spacing w:line="320" w:lineRule="exact"/>
              <w:jc w:val="center"/>
              <w:rPr>
                <w:rFonts w:ascii="仿宋_GB2312" w:eastAsia="仿宋_GB2312"/>
                <w:b/>
                <w:bCs/>
              </w:rPr>
            </w:pPr>
          </w:p>
        </w:tc>
        <w:tc>
          <w:tcPr>
            <w:tcW w:w="735" w:type="dxa"/>
            <w:vMerge w:val="continue"/>
            <w:vAlign w:val="center"/>
          </w:tcPr>
          <w:p>
            <w:pPr>
              <w:adjustRightInd w:val="0"/>
              <w:snapToGrid w:val="0"/>
              <w:spacing w:line="320" w:lineRule="exact"/>
              <w:jc w:val="center"/>
              <w:rPr>
                <w:rFonts w:ascii="仿宋_GB2312" w:eastAsia="仿宋_GB2312"/>
                <w:b/>
                <w:bCs/>
              </w:rPr>
            </w:pPr>
          </w:p>
        </w:tc>
        <w:tc>
          <w:tcPr>
            <w:tcW w:w="819" w:type="dxa"/>
            <w:vMerge w:val="continue"/>
            <w:vAlign w:val="center"/>
          </w:tcPr>
          <w:p>
            <w:pPr>
              <w:adjustRightInd w:val="0"/>
              <w:snapToGrid w:val="0"/>
              <w:spacing w:line="320" w:lineRule="exact"/>
              <w:jc w:val="center"/>
              <w:rPr>
                <w:rFonts w:ascii="仿宋_GB2312" w:eastAsia="仿宋_GB2312"/>
                <w:b/>
                <w:bCs/>
              </w:rPr>
            </w:pPr>
          </w:p>
        </w:tc>
        <w:tc>
          <w:tcPr>
            <w:tcW w:w="948" w:type="dxa"/>
            <w:vAlign w:val="center"/>
          </w:tcPr>
          <w:p>
            <w:pPr>
              <w:spacing w:line="320" w:lineRule="exact"/>
              <w:jc w:val="center"/>
              <w:rPr>
                <w:rFonts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588" w:type="dxa"/>
            <w:vAlign w:val="center"/>
          </w:tcPr>
          <w:p>
            <w:pPr>
              <w:autoSpaceDE w:val="0"/>
              <w:autoSpaceDN w:val="0"/>
              <w:adjustRightInd w:val="0"/>
              <w:spacing w:line="240" w:lineRule="exact"/>
              <w:jc w:val="center"/>
              <w:rPr>
                <w:rFonts w:eastAsia="仿宋_GB2312"/>
                <w:b/>
                <w:szCs w:val="21"/>
              </w:rPr>
            </w:pPr>
            <w:r>
              <w:rPr>
                <w:rFonts w:hint="eastAsia" w:eastAsia="仿宋_GB2312"/>
                <w:b/>
                <w:szCs w:val="21"/>
              </w:rPr>
              <w:t>建筑密度</w:t>
            </w:r>
          </w:p>
          <w:p>
            <w:pPr>
              <w:autoSpaceDE w:val="0"/>
              <w:autoSpaceDN w:val="0"/>
              <w:adjustRightInd w:val="0"/>
              <w:spacing w:line="240" w:lineRule="exact"/>
              <w:jc w:val="center"/>
              <w:rPr>
                <w:rFonts w:ascii="仿宋_GB2312" w:eastAsia="仿宋_GB2312"/>
                <w:b/>
                <w:bCs/>
                <w:szCs w:val="21"/>
              </w:rPr>
            </w:pPr>
            <w:r>
              <w:rPr>
                <w:rFonts w:hint="eastAsia" w:ascii="宋体" w:hAnsi="宋体" w:cs="宋体"/>
                <w:b/>
                <w:szCs w:val="21"/>
              </w:rPr>
              <w:t>（％）</w:t>
            </w:r>
          </w:p>
        </w:tc>
        <w:tc>
          <w:tcPr>
            <w:tcW w:w="660" w:type="dxa"/>
            <w:vAlign w:val="center"/>
          </w:tcPr>
          <w:p>
            <w:pPr>
              <w:autoSpaceDE w:val="0"/>
              <w:autoSpaceDN w:val="0"/>
              <w:adjustRightInd w:val="0"/>
              <w:spacing w:line="240" w:lineRule="exact"/>
              <w:jc w:val="center"/>
              <w:rPr>
                <w:rFonts w:ascii="仿宋_GB2312" w:eastAsia="仿宋_GB2312"/>
                <w:b/>
                <w:bCs/>
                <w:szCs w:val="21"/>
              </w:rPr>
            </w:pPr>
            <w:r>
              <w:rPr>
                <w:rFonts w:hint="eastAsia" w:ascii="仿宋_GB2312" w:eastAsia="仿宋_GB2312"/>
                <w:b/>
                <w:bCs/>
                <w:szCs w:val="21"/>
              </w:rPr>
              <w:t>容积率</w:t>
            </w:r>
          </w:p>
        </w:tc>
        <w:tc>
          <w:tcPr>
            <w:tcW w:w="1800" w:type="dxa"/>
            <w:vAlign w:val="center"/>
          </w:tcPr>
          <w:p>
            <w:pPr>
              <w:spacing w:line="320" w:lineRule="exact"/>
              <w:ind w:left="51" w:right="-60" w:rightChars="-25" w:hanging="51" w:hangingChars="21"/>
              <w:jc w:val="center"/>
              <w:rPr>
                <w:rFonts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50" w:type="dxa"/>
            <w:vAlign w:val="center"/>
          </w:tcPr>
          <w:p>
            <w:pPr>
              <w:autoSpaceDE w:val="0"/>
              <w:autoSpaceDN w:val="0"/>
              <w:adjustRightInd w:val="0"/>
              <w:spacing w:line="240" w:lineRule="exact"/>
              <w:jc w:val="center"/>
              <w:rPr>
                <w:rFonts w:ascii="仿宋_GB2312" w:eastAsia="仿宋_GB2312"/>
                <w:b/>
                <w:bCs/>
              </w:rPr>
            </w:pPr>
            <w:r>
              <w:rPr>
                <w:rFonts w:hint="eastAsia" w:eastAsia="仿宋_GB2312"/>
                <w:b/>
                <w:szCs w:val="21"/>
              </w:rPr>
              <w:t>机动车停车位配建标准</w:t>
            </w:r>
          </w:p>
        </w:tc>
        <w:tc>
          <w:tcPr>
            <w:tcW w:w="720" w:type="dxa"/>
            <w:vAlign w:val="center"/>
          </w:tcPr>
          <w:p>
            <w:pPr>
              <w:autoSpaceDE w:val="0"/>
              <w:autoSpaceDN w:val="0"/>
              <w:adjustRightInd w:val="0"/>
              <w:spacing w:line="240" w:lineRule="exact"/>
              <w:jc w:val="center"/>
              <w:rPr>
                <w:rFonts w:eastAsia="仿宋_GB2312"/>
                <w:b/>
                <w:szCs w:val="21"/>
              </w:rPr>
            </w:pPr>
            <w:r>
              <w:rPr>
                <w:rFonts w:hint="eastAsia" w:eastAsia="仿宋_GB2312"/>
                <w:b/>
                <w:szCs w:val="21"/>
              </w:rPr>
              <w:t>绿地率</w:t>
            </w:r>
          </w:p>
          <w:p>
            <w:pPr>
              <w:autoSpaceDE w:val="0"/>
              <w:autoSpaceDN w:val="0"/>
              <w:adjustRightInd w:val="0"/>
              <w:spacing w:line="240" w:lineRule="exact"/>
              <w:jc w:val="center"/>
              <w:rPr>
                <w:rFonts w:ascii="仿宋_GB2312" w:eastAsia="仿宋_GB2312"/>
                <w:b/>
                <w:bCs/>
              </w:rPr>
            </w:pPr>
            <w:r>
              <w:rPr>
                <w:rFonts w:hint="eastAsia" w:ascii="宋体" w:hAnsi="宋体" w:cs="宋体"/>
                <w:b/>
                <w:szCs w:val="21"/>
              </w:rPr>
              <w:t>（％）</w:t>
            </w:r>
          </w:p>
        </w:tc>
        <w:tc>
          <w:tcPr>
            <w:tcW w:w="1190" w:type="dxa"/>
            <w:vAlign w:val="center"/>
          </w:tcPr>
          <w:p>
            <w:pPr>
              <w:spacing w:line="320" w:lineRule="exact"/>
              <w:ind w:left="51" w:right="-60" w:rightChars="-25" w:hanging="51" w:hangingChars="21"/>
              <w:jc w:val="center"/>
              <w:rPr>
                <w:rFonts w:ascii="仿宋_GB2312" w:eastAsia="仿宋_GB2312"/>
                <w:b/>
                <w:bCs/>
              </w:rPr>
            </w:pPr>
            <w:r>
              <w:rPr>
                <w:rFonts w:hint="eastAsia" w:ascii="仿宋_GB2312" w:eastAsia="仿宋_GB2312"/>
                <w:b/>
                <w:bCs/>
                <w:szCs w:val="21"/>
              </w:rPr>
              <w:t>适建性</w:t>
            </w:r>
          </w:p>
          <w:p>
            <w:pPr>
              <w:autoSpaceDE w:val="0"/>
              <w:autoSpaceDN w:val="0"/>
              <w:adjustRightInd w:val="0"/>
              <w:spacing w:line="240" w:lineRule="exact"/>
              <w:jc w:val="center"/>
              <w:rPr>
                <w:rFonts w:ascii="仿宋_GB2312" w:eastAsia="仿宋_GB2312"/>
                <w:b/>
                <w:bCs/>
              </w:rPr>
            </w:pPr>
          </w:p>
        </w:tc>
        <w:tc>
          <w:tcPr>
            <w:tcW w:w="670" w:type="dxa"/>
            <w:vMerge w:val="continue"/>
            <w:vAlign w:val="center"/>
          </w:tcPr>
          <w:p>
            <w:pPr>
              <w:autoSpaceDE w:val="0"/>
              <w:autoSpaceDN w:val="0"/>
              <w:adjustRightInd w:val="0"/>
              <w:spacing w:line="240" w:lineRule="exact"/>
              <w:jc w:val="cente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810" w:type="dxa"/>
            <w:tcMar>
              <w:left w:w="0" w:type="dxa"/>
              <w:right w:w="0" w:type="dxa"/>
            </w:tcMar>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GP2020-10</w:t>
            </w:r>
          </w:p>
        </w:tc>
        <w:tc>
          <w:tcPr>
            <w:tcW w:w="720"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lang w:val="en-US" w:eastAsia="zh-CN"/>
              </w:rPr>
              <w:t>惠州市</w:t>
            </w:r>
            <w:r>
              <w:rPr>
                <w:rFonts w:hint="eastAsia" w:ascii="仿宋_GB2312" w:hAnsi="Times New Roman" w:eastAsia="仿宋_GB2312"/>
                <w:szCs w:val="21"/>
              </w:rPr>
              <w:t>惠南大道</w:t>
            </w:r>
          </w:p>
        </w:tc>
        <w:tc>
          <w:tcPr>
            <w:tcW w:w="735" w:type="dxa"/>
            <w:vAlign w:val="center"/>
          </w:tcPr>
          <w:p>
            <w:pPr>
              <w:jc w:val="center"/>
              <w:rPr>
                <w:rFonts w:hint="default" w:ascii="仿宋_GB2312" w:hAnsi="Times New Roman" w:eastAsia="仿宋_GB2312"/>
                <w:szCs w:val="21"/>
                <w:lang w:val="en-US" w:eastAsia="zh-CN"/>
              </w:rPr>
            </w:pPr>
            <w:r>
              <w:rPr>
                <w:rFonts w:hint="eastAsia" w:ascii="仿宋_GB2312" w:hAnsi="Times New Roman" w:eastAsia="仿宋_GB2312"/>
                <w:szCs w:val="21"/>
              </w:rPr>
              <w:t>SDOl-01-14-01</w:t>
            </w:r>
          </w:p>
        </w:tc>
        <w:tc>
          <w:tcPr>
            <w:tcW w:w="819" w:type="dxa"/>
            <w:tcMar>
              <w:left w:w="0" w:type="dxa"/>
              <w:right w:w="0" w:type="dxa"/>
            </w:tcMar>
            <w:vAlign w:val="center"/>
          </w:tcPr>
          <w:p>
            <w:pPr>
              <w:jc w:val="center"/>
              <w:rPr>
                <w:rFonts w:hint="eastAsia" w:ascii="仿宋_GB2312" w:hAnsi="Times New Roman" w:eastAsia="仿宋_GB2312"/>
                <w:szCs w:val="21"/>
              </w:rPr>
            </w:pPr>
            <w:r>
              <w:rPr>
                <w:rFonts w:hint="eastAsia" w:ascii="仿宋_GB2312" w:hAnsi="Times New Roman" w:eastAsia="仿宋_GB2312"/>
                <w:szCs w:val="21"/>
              </w:rPr>
              <w:t>住宅及商服</w:t>
            </w:r>
          </w:p>
          <w:p>
            <w:pPr>
              <w:jc w:val="center"/>
              <w:rPr>
                <w:rFonts w:hint="eastAsia" w:ascii="仿宋_GB2312" w:hAnsi="Times New Roman" w:eastAsia="仿宋_GB2312"/>
                <w:szCs w:val="21"/>
              </w:rPr>
            </w:pPr>
          </w:p>
        </w:tc>
        <w:tc>
          <w:tcPr>
            <w:tcW w:w="948" w:type="dxa"/>
            <w:vAlign w:val="center"/>
          </w:tcPr>
          <w:p>
            <w:pPr>
              <w:jc w:val="center"/>
              <w:rPr>
                <w:rFonts w:hint="eastAsia" w:ascii="仿宋_GB2312" w:hAnsi="Times New Roman" w:eastAsia="仿宋_GB2312"/>
                <w:szCs w:val="21"/>
              </w:rPr>
            </w:pPr>
            <w:r>
              <w:rPr>
                <w:rFonts w:hint="eastAsia" w:ascii="仿宋_GB2312" w:hAnsi="Times New Roman" w:eastAsia="仿宋_GB2312"/>
                <w:szCs w:val="21"/>
              </w:rPr>
              <w:t>2292.34</w:t>
            </w:r>
          </w:p>
        </w:tc>
        <w:tc>
          <w:tcPr>
            <w:tcW w:w="588" w:type="dxa"/>
            <w:vAlign w:val="center"/>
          </w:tcPr>
          <w:p>
            <w:pPr>
              <w:adjustRightInd w:val="0"/>
              <w:snapToGrid w:val="0"/>
              <w:spacing w:line="400" w:lineRule="exact"/>
              <w:jc w:val="center"/>
              <w:rPr>
                <w:rFonts w:ascii="仿宋_GB2312" w:hAnsi="Times New Roman" w:eastAsia="仿宋_GB2312"/>
                <w:szCs w:val="21"/>
              </w:rPr>
            </w:pPr>
            <w:r>
              <w:rPr>
                <w:rFonts w:hint="eastAsia" w:eastAsia="仿宋_GB2312"/>
                <w:szCs w:val="21"/>
              </w:rPr>
              <w:t>≤</w:t>
            </w:r>
            <w:r>
              <w:rPr>
                <w:rFonts w:ascii="仿宋_GB2312" w:hAnsi="仿宋_GB2312" w:eastAsia="仿宋_GB2312"/>
                <w:color w:val="000000"/>
                <w:szCs w:val="21"/>
              </w:rPr>
              <w:t>24</w:t>
            </w:r>
          </w:p>
        </w:tc>
        <w:tc>
          <w:tcPr>
            <w:tcW w:w="660"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3.5</w:t>
            </w:r>
          </w:p>
        </w:tc>
        <w:tc>
          <w:tcPr>
            <w:tcW w:w="1800"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仿宋_GB2312" w:eastAsia="仿宋_GB2312"/>
                <w:color w:val="000000"/>
                <w:szCs w:val="21"/>
              </w:rPr>
              <w:t>≤</w:t>
            </w:r>
            <w:r>
              <w:rPr>
                <w:rFonts w:hint="eastAsia" w:ascii="仿宋_GB2312" w:eastAsia="仿宋_GB2312"/>
                <w:color w:val="000000"/>
              </w:rPr>
              <w:t>8023</w:t>
            </w:r>
            <w:r>
              <w:rPr>
                <w:rFonts w:hint="eastAsia" w:ascii="Microsoft JhengHei" w:hAnsi="Microsoft JhengHei" w:eastAsia="Microsoft JhengHei" w:cs="Microsoft JhengHei"/>
                <w:color w:val="000000"/>
                <w:szCs w:val="21"/>
              </w:rPr>
              <w:t>㎡</w:t>
            </w:r>
            <w:r>
              <w:rPr>
                <w:rFonts w:hint="eastAsia" w:ascii="仿宋_GB2312" w:hAnsi="仿宋_GB2312" w:eastAsia="仿宋_GB2312"/>
                <w:color w:val="000000"/>
                <w:szCs w:val="21"/>
              </w:rPr>
              <w:t>(其中：商业服务业</w:t>
            </w:r>
            <w:r>
              <w:rPr>
                <w:rFonts w:ascii="仿宋_GB2312" w:hAnsi="仿宋_GB2312" w:eastAsia="仿宋_GB2312"/>
                <w:color w:val="000000"/>
                <w:szCs w:val="21"/>
              </w:rPr>
              <w:t>设施建筑</w:t>
            </w:r>
            <w:r>
              <w:rPr>
                <w:rFonts w:hint="eastAsia" w:ascii="仿宋_GB2312" w:hAnsi="仿宋_GB2312" w:eastAsia="仿宋_GB2312"/>
                <w:color w:val="000000"/>
                <w:szCs w:val="21"/>
              </w:rPr>
              <w:t>面积≤</w:t>
            </w:r>
            <w:r>
              <w:rPr>
                <w:rFonts w:ascii="仿宋_GB2312" w:hAnsi="仿宋_GB2312" w:eastAsia="仿宋_GB2312"/>
                <w:color w:val="000000"/>
                <w:szCs w:val="21"/>
              </w:rPr>
              <w:t>597.4</w:t>
            </w:r>
            <w:r>
              <w:rPr>
                <w:rFonts w:hint="eastAsia" w:ascii="Microsoft JhengHei" w:hAnsi="Microsoft JhengHei" w:eastAsia="Microsoft JhengHei" w:cs="Microsoft JhengHei"/>
                <w:color w:val="000000"/>
                <w:szCs w:val="21"/>
              </w:rPr>
              <w:t>㎡</w:t>
            </w:r>
            <w:r>
              <w:rPr>
                <w:rFonts w:hint="eastAsia" w:ascii="仿宋_GB2312" w:hAnsi="仿宋_GB2312" w:eastAsia="仿宋_GB2312"/>
                <w:color w:val="000000"/>
                <w:szCs w:val="21"/>
              </w:rPr>
              <w:t>;</w:t>
            </w:r>
            <w:r>
              <w:rPr>
                <w:rFonts w:hint="eastAsia"/>
              </w:rPr>
              <w:t xml:space="preserve"> </w:t>
            </w:r>
            <w:r>
              <w:rPr>
                <w:rFonts w:hint="eastAsia" w:ascii="仿宋_GB2312" w:hAnsi="仿宋_GB2312" w:eastAsia="仿宋_GB2312"/>
                <w:color w:val="000000"/>
                <w:szCs w:val="21"/>
              </w:rPr>
              <w:t>配套设施建设面积≥30.6</w:t>
            </w:r>
            <w:r>
              <w:rPr>
                <w:rFonts w:hint="eastAsia" w:ascii="Microsoft JhengHei" w:hAnsi="Microsoft JhengHei" w:eastAsia="Microsoft JhengHei" w:cs="Microsoft JhengHei"/>
                <w:color w:val="000000"/>
                <w:szCs w:val="21"/>
              </w:rPr>
              <w:t>㎡</w:t>
            </w:r>
            <w:r>
              <w:rPr>
                <w:rFonts w:hint="eastAsia" w:ascii="仿宋_GB2312" w:hAnsi="仿宋_GB2312" w:eastAsia="仿宋_GB2312"/>
                <w:color w:val="000000"/>
                <w:szCs w:val="21"/>
              </w:rPr>
              <w:t>)</w:t>
            </w:r>
          </w:p>
        </w:tc>
        <w:tc>
          <w:tcPr>
            <w:tcW w:w="1050"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仿宋_GB2312" w:eastAsia="仿宋_GB2312" w:cs="仿宋_GB2312"/>
                <w:szCs w:val="21"/>
              </w:rPr>
              <w:t>每100平方米计容积率面积</w:t>
            </w:r>
            <w:r>
              <w:rPr>
                <w:rFonts w:hint="eastAsia" w:ascii="仿宋_GB2312" w:hAnsi="Arial" w:eastAsia="仿宋_GB2312" w:cs="Arial"/>
                <w:szCs w:val="21"/>
              </w:rPr>
              <w:t>≥</w:t>
            </w:r>
            <w:r>
              <w:rPr>
                <w:rFonts w:hint="eastAsia" w:ascii="仿宋_GB2312" w:hAnsi="仿宋_GB2312" w:eastAsia="仿宋_GB2312" w:cs="仿宋_GB2312"/>
                <w:szCs w:val="21"/>
              </w:rPr>
              <w:t>1个</w:t>
            </w:r>
          </w:p>
        </w:tc>
        <w:tc>
          <w:tcPr>
            <w:tcW w:w="720" w:type="dxa"/>
            <w:vAlign w:val="center"/>
          </w:tcPr>
          <w:p>
            <w:pPr>
              <w:adjustRightInd w:val="0"/>
              <w:snapToGrid w:val="0"/>
              <w:spacing w:line="400" w:lineRule="exact"/>
              <w:jc w:val="center"/>
              <w:rPr>
                <w:rFonts w:ascii="仿宋_GB2312" w:hAnsi="Times New Roman" w:eastAsia="仿宋_GB2312"/>
                <w:szCs w:val="21"/>
              </w:rPr>
            </w:pPr>
            <w:r>
              <w:rPr>
                <w:rFonts w:hint="eastAsia" w:ascii="仿宋_GB2312" w:hAnsi="Arial" w:eastAsia="仿宋_GB2312" w:cs="Arial"/>
                <w:szCs w:val="21"/>
              </w:rPr>
              <w:t>≥</w:t>
            </w:r>
            <w:r>
              <w:rPr>
                <w:rFonts w:ascii="仿宋_GB2312" w:hAnsi="仿宋_GB2312" w:eastAsia="仿宋_GB2312" w:cs="仿宋_GB2312"/>
                <w:szCs w:val="21"/>
              </w:rPr>
              <w:t>33</w:t>
            </w:r>
          </w:p>
        </w:tc>
        <w:tc>
          <w:tcPr>
            <w:tcW w:w="1190" w:type="dxa"/>
            <w:vAlign w:val="center"/>
          </w:tcPr>
          <w:p>
            <w:pPr>
              <w:ind w:leftChars="-51" w:right="-134" w:rightChars="-56" w:hanging="122" w:hangingChars="51"/>
              <w:rPr>
                <w:rFonts w:ascii="仿宋_GB2312" w:hAnsi="Times New Roman" w:eastAsia="仿宋_GB2312"/>
                <w:szCs w:val="21"/>
              </w:rPr>
            </w:pPr>
            <w:r>
              <w:rPr>
                <w:rFonts w:hint="eastAsia" w:ascii="仿宋_GB2312" w:hAnsi="仿宋_GB2312" w:eastAsia="仿宋_GB2312"/>
                <w:color w:val="000000"/>
                <w:szCs w:val="21"/>
              </w:rPr>
              <w:t>住宅和商业、商务、娱乐康体及配套设施</w:t>
            </w:r>
          </w:p>
        </w:tc>
        <w:tc>
          <w:tcPr>
            <w:tcW w:w="670" w:type="dxa"/>
            <w:vAlign w:val="center"/>
          </w:tcPr>
          <w:p>
            <w:pPr>
              <w:ind w:leftChars="-51" w:right="-134" w:rightChars="-56" w:hanging="122" w:hangingChars="51"/>
              <w:rPr>
                <w:rFonts w:ascii="仿宋_GB2312" w:hAnsi="仿宋_GB2312" w:eastAsia="仿宋_GB2312"/>
                <w:color w:val="000000"/>
                <w:szCs w:val="21"/>
              </w:rPr>
            </w:pPr>
            <w:r>
              <w:rPr>
                <w:rFonts w:hint="eastAsia" w:ascii="仿宋_GB2312" w:hAnsi="仿宋_GB2312" w:eastAsia="仿宋_GB2312"/>
                <w:color w:val="000000"/>
                <w:szCs w:val="21"/>
              </w:rPr>
              <w:t>住宅70年；商服40年。</w:t>
            </w:r>
          </w:p>
        </w:tc>
      </w:tr>
    </w:tbl>
    <w:p>
      <w:pPr>
        <w:spacing w:line="360" w:lineRule="auto"/>
        <w:ind w:firstLine="5120" w:firstLineChars="1600"/>
        <w:rPr>
          <w:rFonts w:hint="default" w:ascii="仿宋_GB2312" w:eastAsia="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- 10 -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F0DD8"/>
    <w:rsid w:val="045E3BBD"/>
    <w:rsid w:val="19E903C4"/>
    <w:rsid w:val="2EA0509E"/>
    <w:rsid w:val="2F856415"/>
    <w:rsid w:val="41A64B16"/>
    <w:rsid w:val="47C342C8"/>
    <w:rsid w:val="50320399"/>
    <w:rsid w:val="59CF0DD8"/>
    <w:rsid w:val="77C4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napToGrid w:val="0"/>
      <w:spacing w:before="100"/>
      <w:ind w:firstLine="640" w:firstLineChars="200"/>
    </w:pPr>
    <w:rPr>
      <w:rFonts w:ascii="仿宋_GB2312" w:hAnsi="华文中宋" w:eastAsia="仿宋_GB2312"/>
      <w:sz w:val="3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2020-04-22T07:50:00Z</dcterms:created>
  <dc:creator>黄春枚</dc:creator>
  <cp:lastModifiedBy>黄春枚</cp:lastModifiedBy>
  <dcterms:modified xsi:type="dcterms:W3CDTF">2020-04-29T02:43:00Z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