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4"/>
          <w:szCs w:val="44"/>
        </w:rPr>
      </w:pPr>
    </w:p>
    <w:p>
      <w:pPr>
        <w:pStyle w:val="2"/>
        <w:ind w:left="0" w:leftChars="0" w:firstLine="0" w:firstLineChars="0"/>
        <w:rPr>
          <w:rFonts w:hint="eastAsia"/>
        </w:rPr>
      </w:pPr>
    </w:p>
    <w:p>
      <w:pPr>
        <w:tabs>
          <w:tab w:val="left" w:pos="11340"/>
        </w:tabs>
        <w:spacing w:line="520" w:lineRule="exact"/>
        <w:rPr>
          <w:rFonts w:hint="eastAsia" w:ascii="方正小标宋_GBK" w:eastAsia="方正小标宋_GBK"/>
          <w:b/>
          <w:bCs/>
          <w:spacing w:val="3"/>
          <w:sz w:val="48"/>
        </w:rPr>
      </w:pPr>
      <w:r>
        <w:rPr>
          <w:rFonts w:hint="eastAsia" w:ascii="方正小标宋_GBK" w:eastAsia="方正小标宋_GBK"/>
          <w:b/>
          <w:bCs/>
          <w:spacing w:val="3"/>
          <w:sz w:val="44"/>
          <w:szCs w:val="44"/>
        </w:rPr>
        <w:t>惠州市国有建设用地使用权网上挂牌</w:t>
      </w:r>
      <w:r>
        <w:rPr>
          <w:rFonts w:hint="eastAsia" w:ascii="方正小标宋_GBK"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015</w:t>
      </w:r>
      <w:r>
        <w:rPr>
          <w:rFonts w:hint="eastAsia" w:ascii="仿宋_GB2312" w:eastAsia="仿宋_GB2312"/>
          <w:sz w:val="32"/>
          <w:szCs w:val="32"/>
        </w:rPr>
        <w:t>号</w:t>
      </w:r>
    </w:p>
    <w:p>
      <w:pPr>
        <w:spacing w:line="520" w:lineRule="exact"/>
        <w:ind w:firstLine="360" w:firstLineChars="200"/>
        <w:rPr>
          <w:rFonts w:hint="eastAsia" w:ascii="仿宋_GB2312" w:eastAsia="仿宋_GB2312"/>
          <w:sz w:val="18"/>
          <w:szCs w:val="18"/>
        </w:rPr>
      </w:pPr>
    </w:p>
    <w:p>
      <w:pPr>
        <w:spacing w:line="520"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根据国土资源部令第</w:t>
      </w:r>
      <w:r>
        <w:rPr>
          <w:rFonts w:hint="eastAsia" w:ascii="仿宋_GB2312" w:hAnsi="仿宋_GB2312" w:eastAsia="仿宋_GB2312" w:cs="仿宋_GB2312"/>
          <w:bCs/>
          <w:kern w:val="0"/>
          <w:sz w:val="32"/>
          <w:szCs w:val="32"/>
          <w:lang w:val="en-US" w:eastAsia="zh-CN" w:bidi="ar-SA"/>
        </w:rPr>
        <w:t>39号《招标拍卖挂牌出让国有建设用地使用权规定》和广东省人民政府令第79号</w:t>
      </w:r>
      <w:r>
        <w:rPr>
          <w:rFonts w:hint="eastAsia" w:ascii="仿宋_GB2312" w:hAnsi="仿宋_GB2312" w:eastAsia="仿宋_GB2312" w:cs="仿宋_GB2312"/>
          <w:sz w:val="32"/>
          <w:szCs w:val="32"/>
          <w:lang w:bidi="ar-SA"/>
        </w:rPr>
        <w:t>《广东省土地使用权交易市场管理规定》的规定，经惠州市人民政府批准，惠州市自然资源局决定以网上挂牌方式出让下列一宗国有建设用地使用权，本次国有建设用地使用权网上挂</w:t>
      </w:r>
      <w:bookmarkStart w:id="0" w:name="_GoBack"/>
      <w:bookmarkEnd w:id="0"/>
      <w:r>
        <w:rPr>
          <w:rFonts w:hint="eastAsia" w:ascii="仿宋_GB2312" w:hAnsi="仿宋_GB2312" w:eastAsia="仿宋_GB2312" w:cs="仿宋_GB2312"/>
          <w:sz w:val="32"/>
          <w:szCs w:val="32"/>
          <w:lang w:bidi="ar-SA"/>
        </w:rPr>
        <w:t>牌出让交易具体事务委托惠州市公共资源交易中心办理。现将有关事项公告如下：</w:t>
      </w:r>
    </w:p>
    <w:p>
      <w:pPr>
        <w:spacing w:line="520" w:lineRule="exact"/>
        <w:ind w:firstLine="720" w:firstLineChars="225"/>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一、网上挂牌出让地块基本情况及规划指标要求（见附表）</w:t>
      </w:r>
    </w:p>
    <w:p>
      <w:pPr>
        <w:spacing w:line="520" w:lineRule="exact"/>
        <w:ind w:firstLine="720" w:firstLineChars="225"/>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sz w:val="32"/>
          <w:szCs w:val="32"/>
          <w:lang w:bidi="ar-SA"/>
        </w:rPr>
        <w:t>二、网上挂牌竞买时间为</w:t>
      </w:r>
      <w:r>
        <w:rPr>
          <w:rFonts w:hint="eastAsia" w:ascii="仿宋_GB2312" w:hAnsi="仿宋_GB2312" w:eastAsia="仿宋_GB2312" w:cs="仿宋_GB2312"/>
          <w:bCs/>
          <w:kern w:val="0"/>
          <w:sz w:val="32"/>
          <w:szCs w:val="32"/>
          <w:lang w:val="en-US" w:eastAsia="zh-CN" w:bidi="ar-SA"/>
        </w:rPr>
        <w:t>2021年6月29日9时至2021年7月13日10时。</w:t>
      </w:r>
    </w:p>
    <w:p>
      <w:pPr>
        <w:spacing w:line="520" w:lineRule="exact"/>
        <w:ind w:firstLine="720" w:firstLineChars="225"/>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三、挂牌起始价为人民币47850万元,每次报价加价幅度为人民币500万元的整数倍。</w:t>
      </w:r>
    </w:p>
    <w:p>
      <w:pPr>
        <w:spacing w:line="520" w:lineRule="exact"/>
        <w:ind w:firstLine="720" w:firstLineChars="225"/>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四、中华人民共和国境内外的法人</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（一）单独申请竞买的，竞买申请人为非本市注册登记的企业，在竞得土地后，必须于</w:t>
      </w:r>
      <w:r>
        <w:rPr>
          <w:rFonts w:hint="eastAsia" w:ascii="仿宋_GB2312" w:hAnsi="仿宋_GB2312" w:eastAsia="仿宋_GB2312" w:cs="仿宋_GB2312"/>
          <w:bCs/>
          <w:kern w:val="0"/>
          <w:sz w:val="32"/>
          <w:szCs w:val="32"/>
          <w:lang w:val="en-US" w:eastAsia="zh-CN" w:bidi="ar-SA"/>
        </w:rPr>
        <w:t>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rPr>
        <w:t>（即竞得人必须是新公司的唯一股东）。</w:t>
      </w:r>
      <w:r>
        <w:rPr>
          <w:rFonts w:hint="eastAsia" w:ascii="仿宋_GB2312" w:hAnsi="仿宋_GB2312" w:eastAsia="仿宋_GB2312" w:cs="仿宋_GB2312"/>
          <w:sz w:val="32"/>
          <w:szCs w:val="32"/>
          <w:lang w:bidi="ar-SA"/>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二）联合申请竞买的，联合竞买人在提交竞买申请材料时，须提交一份联合竞买申请书和协议，协议主要规定联合各方的权利和义务、参与竞买的代表人、联合各方的出资比例等。联合竞买申请人竞得土地后须于</w:t>
      </w:r>
      <w:r>
        <w:rPr>
          <w:rFonts w:hint="eastAsia" w:ascii="仿宋_GB2312" w:hAnsi="仿宋_GB2312" w:eastAsia="仿宋_GB2312" w:cs="仿宋_GB2312"/>
          <w:bCs/>
          <w:sz w:val="32"/>
          <w:szCs w:val="32"/>
          <w:lang w:val="en-US" w:eastAsia="zh-CN" w:bidi="ar-SA"/>
        </w:rPr>
        <w:t>2</w:t>
      </w:r>
      <w:r>
        <w:rPr>
          <w:rFonts w:hint="eastAsia" w:ascii="仿宋_GB2312" w:hAnsi="仿宋_GB2312" w:eastAsia="仿宋_GB2312" w:cs="仿宋_GB2312"/>
          <w:sz w:val="32"/>
          <w:szCs w:val="32"/>
          <w:lang w:bidi="ar-SA"/>
        </w:rPr>
        <w:t>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五、该宗地竞买保证金可用人民币及外币（暂限于美元、港币）支付。</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六、申请人应具备的其他条件：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（一）缴交竞买保证金</w:t>
      </w:r>
      <w:r>
        <w:rPr>
          <w:rFonts w:hint="eastAsia" w:ascii="仿宋_GB2312" w:hAnsi="仿宋_GB2312" w:eastAsia="仿宋_GB2312" w:cs="仿宋_GB2312"/>
          <w:bCs/>
          <w:sz w:val="32"/>
          <w:szCs w:val="32"/>
          <w:lang w:val="en-US" w:eastAsia="zh-CN" w:bidi="ar-SA"/>
        </w:rPr>
        <w:t>14355</w:t>
      </w:r>
      <w:r>
        <w:rPr>
          <w:rFonts w:hint="eastAsia" w:ascii="仿宋_GB2312" w:hAnsi="仿宋_GB2312" w:eastAsia="仿宋_GB2312" w:cs="仿宋_GB2312"/>
          <w:sz w:val="32"/>
          <w:szCs w:val="32"/>
          <w:lang w:bidi="ar-SA"/>
        </w:rPr>
        <w:t>万元人民币，如以外币缴交竞买保证金的，须缴交</w:t>
      </w:r>
      <w:r>
        <w:rPr>
          <w:rFonts w:hint="eastAsia" w:ascii="仿宋_GB2312" w:hAnsi="仿宋_GB2312" w:eastAsia="仿宋_GB2312" w:cs="仿宋_GB2312"/>
          <w:color w:val="000000"/>
          <w:sz w:val="32"/>
          <w:szCs w:val="32"/>
          <w:lang w:bidi="ar-SA"/>
        </w:rPr>
        <w:t>美元</w:t>
      </w:r>
      <w:r>
        <w:rPr>
          <w:rFonts w:hint="eastAsia" w:ascii="仿宋_GB2312" w:hAnsi="仿宋_GB2312" w:eastAsia="仿宋_GB2312" w:cs="仿宋_GB2312"/>
          <w:bCs/>
          <w:sz w:val="32"/>
          <w:szCs w:val="32"/>
          <w:lang w:val="en-US" w:eastAsia="zh-CN" w:bidi="ar-SA"/>
        </w:rPr>
        <w:t>2225</w:t>
      </w:r>
      <w:r>
        <w:rPr>
          <w:rFonts w:hint="eastAsia" w:ascii="仿宋_GB2312" w:hAnsi="仿宋_GB2312" w:eastAsia="仿宋_GB2312" w:cs="仿宋_GB2312"/>
          <w:color w:val="000000"/>
          <w:sz w:val="32"/>
          <w:szCs w:val="32"/>
          <w:lang w:bidi="ar-SA"/>
        </w:rPr>
        <w:t>万元</w:t>
      </w:r>
      <w:r>
        <w:rPr>
          <w:rFonts w:hint="eastAsia" w:ascii="仿宋_GB2312" w:hAnsi="仿宋_GB2312" w:eastAsia="仿宋_GB2312" w:cs="仿宋_GB2312"/>
          <w:color w:val="000000"/>
          <w:sz w:val="32"/>
          <w:szCs w:val="32"/>
          <w:lang w:eastAsia="zh-CN" w:bidi="ar-SA"/>
        </w:rPr>
        <w:t>或</w:t>
      </w:r>
      <w:r>
        <w:rPr>
          <w:rFonts w:hint="eastAsia" w:ascii="仿宋_GB2312" w:hAnsi="仿宋_GB2312" w:eastAsia="仿宋_GB2312" w:cs="仿宋_GB2312"/>
          <w:color w:val="000000"/>
          <w:sz w:val="32"/>
          <w:szCs w:val="32"/>
          <w:lang w:bidi="ar-SA"/>
        </w:rPr>
        <w:t>港币</w:t>
      </w:r>
      <w:r>
        <w:rPr>
          <w:rFonts w:hint="eastAsia" w:ascii="仿宋_GB2312" w:hAnsi="仿宋_GB2312" w:eastAsia="仿宋_GB2312" w:cs="仿宋_GB2312"/>
          <w:bCs/>
          <w:sz w:val="32"/>
          <w:szCs w:val="32"/>
          <w:lang w:val="en-US" w:eastAsia="zh-CN" w:bidi="ar-SA"/>
        </w:rPr>
        <w:t>17281</w:t>
      </w:r>
      <w:r>
        <w:rPr>
          <w:rFonts w:hint="eastAsia" w:ascii="仿宋_GB2312" w:hAnsi="仿宋_GB2312" w:eastAsia="仿宋_GB2312" w:cs="仿宋_GB2312"/>
          <w:color w:val="000000"/>
          <w:sz w:val="32"/>
          <w:szCs w:val="32"/>
          <w:lang w:bidi="ar-SA"/>
        </w:rPr>
        <w:t>万元</w:t>
      </w:r>
      <w:r>
        <w:rPr>
          <w:rFonts w:hint="eastAsia" w:ascii="仿宋_GB2312" w:hAnsi="仿宋_GB2312" w:eastAsia="仿宋_GB2312" w:cs="仿宋_GB2312"/>
          <w:sz w:val="32"/>
          <w:szCs w:val="32"/>
          <w:lang w:bidi="ar-SA"/>
        </w:rPr>
        <w:t>。</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二</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1、存在伪造公文骗取用地和非法倒卖土地等犯罪行为的；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3、因企业原因造成土地闲置一年以上且至报名日止未处罚完结的；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5、至报名日止仍拖欠政府地价款的;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6、被列入问题楼盘开发企业黑名单的;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7、存在其它被禁止竞买土地行为的。</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七、本次国有建设用地使用权网上挂牌出让为无底价挂牌出让</w:t>
      </w:r>
      <w:r>
        <w:rPr>
          <w:rFonts w:hint="eastAsia" w:ascii="仿宋_GB2312" w:hAnsi="仿宋_GB2312" w:eastAsia="仿宋_GB2312" w:cs="仿宋_GB2312"/>
          <w:sz w:val="32"/>
          <w:szCs w:val="32"/>
          <w:lang w:eastAsia="zh-CN" w:bidi="ar-SA"/>
        </w:rPr>
        <w:t>。</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八、本次网上挂牌出让的详细资料和具体要求，见惠州市公共资源交易中心土地与矿业网上挂牌交易系统（www.hzgtjy.com）。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九、有意竞买者可以自行到地块现场踏勘（可在网上挂牌交易系统查阅位置图和现状图）。</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bidi="ar-SA"/>
        </w:rPr>
        <w:t>21</w:t>
      </w:r>
      <w:r>
        <w:rPr>
          <w:rFonts w:hint="eastAsia" w:ascii="仿宋_GB2312" w:hAnsi="仿宋_GB2312" w:eastAsia="仿宋_GB2312" w:cs="仿宋_GB2312"/>
          <w:sz w:val="32"/>
          <w:szCs w:val="32"/>
          <w:lang w:bidi="ar-SA"/>
        </w:rPr>
        <w:t>年</w:t>
      </w:r>
      <w:r>
        <w:rPr>
          <w:rFonts w:hint="eastAsia" w:ascii="仿宋_GB2312" w:hAnsi="仿宋_GB2312" w:eastAsia="仿宋_GB2312" w:cs="仿宋_GB2312"/>
          <w:sz w:val="32"/>
          <w:szCs w:val="32"/>
          <w:lang w:val="en-US" w:eastAsia="zh-CN" w:bidi="ar-SA"/>
        </w:rPr>
        <w:t>7</w:t>
      </w:r>
      <w:r>
        <w:rPr>
          <w:rFonts w:hint="eastAsia" w:ascii="仿宋_GB2312" w:hAnsi="仿宋_GB2312" w:eastAsia="仿宋_GB2312" w:cs="仿宋_GB2312"/>
          <w:sz w:val="32"/>
          <w:szCs w:val="32"/>
          <w:lang w:bidi="ar-SA"/>
        </w:rPr>
        <w:t>月</w:t>
      </w:r>
      <w:r>
        <w:rPr>
          <w:rFonts w:hint="eastAsia" w:ascii="仿宋_GB2312" w:hAnsi="仿宋_GB2312" w:eastAsia="仿宋_GB2312" w:cs="仿宋_GB2312"/>
          <w:sz w:val="32"/>
          <w:szCs w:val="32"/>
          <w:lang w:val="en-US" w:eastAsia="zh-CN" w:bidi="ar-SA"/>
        </w:rPr>
        <w:t>13</w:t>
      </w:r>
      <w:r>
        <w:rPr>
          <w:rFonts w:hint="eastAsia" w:ascii="仿宋_GB2312" w:hAnsi="仿宋_GB2312" w:eastAsia="仿宋_GB2312" w:cs="仿宋_GB2312"/>
          <w:sz w:val="32"/>
          <w:szCs w:val="32"/>
          <w:lang w:bidi="ar-SA"/>
        </w:rPr>
        <w:t>日</w:t>
      </w:r>
      <w:r>
        <w:rPr>
          <w:rFonts w:hint="eastAsia" w:ascii="仿宋_GB2312" w:hAnsi="仿宋_GB2312" w:eastAsia="仿宋_GB2312" w:cs="仿宋_GB2312"/>
          <w:sz w:val="32"/>
          <w:szCs w:val="32"/>
          <w:lang w:val="en-US" w:eastAsia="zh-CN" w:bidi="ar-SA"/>
        </w:rPr>
        <w:t>上</w:t>
      </w:r>
      <w:r>
        <w:rPr>
          <w:rFonts w:hint="eastAsia" w:ascii="仿宋_GB2312" w:hAnsi="仿宋_GB2312" w:eastAsia="仿宋_GB2312" w:cs="仿宋_GB2312"/>
          <w:sz w:val="32"/>
          <w:szCs w:val="32"/>
          <w:lang w:bidi="ar-SA"/>
        </w:rPr>
        <w:t>午</w:t>
      </w:r>
      <w:r>
        <w:rPr>
          <w:rFonts w:hint="eastAsia" w:ascii="仿宋_GB2312" w:hAnsi="仿宋_GB2312" w:eastAsia="仿宋_GB2312" w:cs="仿宋_GB2312"/>
          <w:sz w:val="32"/>
          <w:szCs w:val="32"/>
          <w:lang w:val="en-US" w:eastAsia="zh-CN" w:bidi="ar-SA"/>
        </w:rPr>
        <w:t>9</w:t>
      </w:r>
      <w:r>
        <w:rPr>
          <w:rFonts w:hint="eastAsia" w:ascii="仿宋_GB2312" w:hAnsi="仿宋_GB2312" w:eastAsia="仿宋_GB2312" w:cs="仿宋_GB2312"/>
          <w:sz w:val="32"/>
          <w:szCs w:val="32"/>
          <w:lang w:bidi="ar-SA"/>
        </w:rPr>
        <w:t>时止。网上挂牌报价时间截止时，经系统询问，有竞买人表示愿意继续竞价的，系统自动进入网上限时竞价程序，</w:t>
      </w:r>
      <w:r>
        <w:rPr>
          <w:rFonts w:hint="eastAsia" w:ascii="仿宋_GB2312" w:hAnsi="仿宋_GB2312" w:eastAsia="仿宋_GB2312" w:cs="仿宋_GB2312"/>
          <w:sz w:val="32"/>
          <w:szCs w:val="32"/>
          <w:lang w:val="en-US" w:eastAsia="zh-CN" w:bidi="ar-SA"/>
        </w:rPr>
        <w:t>并</w:t>
      </w:r>
      <w:r>
        <w:rPr>
          <w:rFonts w:hint="eastAsia" w:ascii="仿宋_GB2312" w:hAnsi="仿宋_GB2312" w:eastAsia="仿宋_GB2312" w:cs="仿宋_GB2312"/>
          <w:sz w:val="32"/>
          <w:szCs w:val="32"/>
          <w:lang w:bidi="ar-SA"/>
        </w:rPr>
        <w:t>通过</w:t>
      </w:r>
      <w:r>
        <w:rPr>
          <w:rFonts w:hint="eastAsia" w:ascii="仿宋_GB2312" w:hAnsi="仿宋_GB2312" w:eastAsia="仿宋_GB2312" w:cs="仿宋_GB2312"/>
          <w:bCs/>
          <w:sz w:val="32"/>
          <w:szCs w:val="32"/>
          <w:lang w:val="en-US" w:eastAsia="zh-CN" w:bidi="ar-SA"/>
        </w:rPr>
        <w:t>“限地价、竞配建”方式</w:t>
      </w:r>
      <w:r>
        <w:rPr>
          <w:rFonts w:hint="eastAsia" w:ascii="仿宋_GB2312" w:hAnsi="仿宋_GB2312" w:eastAsia="仿宋_GB2312" w:cs="仿宋_GB2312"/>
          <w:sz w:val="32"/>
          <w:szCs w:val="32"/>
          <w:lang w:bidi="ar-SA"/>
        </w:rPr>
        <w:t>确定竞得人。</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十二、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土地成交价款。</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以外币缴交竞买保证金的，扣除定金后余额部分返回给竞得人，待竞得人按时缴清土地成交价款后，再将定金退还，不计利息。</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十三、其它需要公告的事项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SA"/>
        </w:rPr>
        <w:t>（一）</w:t>
      </w:r>
      <w:r>
        <w:rPr>
          <w:rFonts w:hint="eastAsia" w:ascii="仿宋_GB2312" w:hAnsi="仿宋_GB2312" w:eastAsia="仿宋_GB2312" w:cs="仿宋_GB2312"/>
          <w:sz w:val="32"/>
          <w:szCs w:val="32"/>
        </w:rPr>
        <w:t>开发投资总额不少于</w:t>
      </w:r>
      <w:r>
        <w:rPr>
          <w:rFonts w:hint="eastAsia" w:ascii="仿宋_GB2312" w:hAnsi="仿宋_GB2312" w:eastAsia="仿宋_GB2312" w:cs="仿宋_GB2312"/>
          <w:bCs/>
          <w:sz w:val="32"/>
          <w:szCs w:val="32"/>
          <w:lang w:val="en-US" w:eastAsia="zh-CN" w:bidi="ar-SA"/>
        </w:rPr>
        <w:t>68070</w:t>
      </w:r>
      <w:r>
        <w:rPr>
          <w:rFonts w:hint="eastAsia"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（二）土地成交价款须以人民币支付,竞得人在签订《出让合同》之日起</w:t>
      </w:r>
      <w:r>
        <w:rPr>
          <w:rFonts w:hint="eastAsia" w:ascii="仿宋_GB2312" w:hAnsi="仿宋_GB2312" w:eastAsia="仿宋_GB2312" w:cs="仿宋_GB2312"/>
          <w:bCs/>
          <w:sz w:val="32"/>
          <w:szCs w:val="32"/>
          <w:lang w:val="en-US" w:eastAsia="zh-CN" w:bidi="ar-SA"/>
        </w:rPr>
        <w:t>30</w:t>
      </w:r>
      <w:r>
        <w:rPr>
          <w:rFonts w:hint="eastAsia" w:ascii="仿宋_GB2312" w:hAnsi="仿宋_GB2312" w:eastAsia="仿宋_GB2312" w:cs="仿宋_GB2312"/>
          <w:sz w:val="32"/>
          <w:szCs w:val="32"/>
          <w:lang w:bidi="ar-SA"/>
        </w:rPr>
        <w:t>日内付清全部成交价款。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SA"/>
        </w:rPr>
        <w:t>（</w:t>
      </w:r>
      <w:r>
        <w:rPr>
          <w:rFonts w:hint="eastAsia" w:ascii="仿宋_GB2312" w:hAnsi="仿宋_GB2312" w:eastAsia="仿宋_GB2312" w:cs="仿宋_GB2312"/>
          <w:color w:val="000000"/>
          <w:sz w:val="32"/>
          <w:szCs w:val="32"/>
          <w:lang w:val="en-US" w:eastAsia="zh-CN" w:bidi="ar-SA"/>
        </w:rPr>
        <w:t>三</w:t>
      </w:r>
      <w:r>
        <w:rPr>
          <w:rFonts w:hint="eastAsia" w:ascii="仿宋_GB2312" w:hAnsi="仿宋_GB2312" w:eastAsia="仿宋_GB2312" w:cs="仿宋_GB2312"/>
          <w:color w:val="000000"/>
          <w:sz w:val="32"/>
          <w:szCs w:val="32"/>
          <w:lang w:bidi="ar-SA"/>
        </w:rPr>
        <w:t>）</w:t>
      </w:r>
      <w:r>
        <w:rPr>
          <w:rFonts w:hint="eastAsia" w:ascii="仿宋_GB2312" w:hAnsi="仿宋_GB2312" w:eastAsia="仿宋_GB2312" w:cs="仿宋_GB2312"/>
          <w:kern w:val="2"/>
          <w:sz w:val="32"/>
          <w:szCs w:val="32"/>
          <w:lang w:bidi="ar-SA"/>
        </w:rPr>
        <w:t>该地权利清晰，安置补偿落实到位，没有法律经济纠纷，具备动工开发所必须的基本条件。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四</w:t>
      </w:r>
      <w:r>
        <w:rPr>
          <w:rFonts w:hint="eastAsia" w:ascii="仿宋_GB2312" w:hAnsi="仿宋_GB2312" w:eastAsia="仿宋_GB2312" w:cs="仿宋_GB2312"/>
          <w:sz w:val="32"/>
          <w:szCs w:val="32"/>
          <w:lang w:bidi="ar-SA"/>
        </w:rPr>
        <w:t>）竞得人在用地红线内开发建设必须符合城市规划要求，必须按《</w:t>
      </w:r>
      <w:r>
        <w:rPr>
          <w:rFonts w:hint="eastAsia" w:ascii="仿宋_GB2312" w:hAnsi="仿宋_GB2312" w:eastAsia="仿宋_GB2312" w:cs="仿宋_GB2312"/>
          <w:sz w:val="32"/>
          <w:szCs w:val="32"/>
          <w:lang w:eastAsia="zh-CN" w:bidi="ar-SA"/>
        </w:rPr>
        <w:t>规划设计条件告知书</w:t>
      </w:r>
      <w:r>
        <w:rPr>
          <w:rFonts w:hint="eastAsia" w:ascii="仿宋_GB2312" w:hAnsi="仿宋_GB2312" w:eastAsia="仿宋_GB2312" w:cs="仿宋_GB2312"/>
          <w:sz w:val="32"/>
          <w:szCs w:val="32"/>
          <w:lang w:bidi="ar-SA"/>
        </w:rPr>
        <w:t>》（案卷编号：</w:t>
      </w:r>
      <w:r>
        <w:rPr>
          <w:rFonts w:hint="eastAsia" w:ascii="仿宋_GB2312" w:hAnsi="仿宋_GB2312" w:eastAsia="仿宋_GB2312" w:cs="仿宋_GB2312"/>
          <w:bCs/>
          <w:sz w:val="32"/>
          <w:szCs w:val="32"/>
          <w:lang w:val="en-US" w:eastAsia="zh-CN" w:bidi="ar-SA"/>
        </w:rPr>
        <w:t>PB20210015</w:t>
      </w:r>
      <w:r>
        <w:rPr>
          <w:rFonts w:hint="eastAsia" w:ascii="仿宋_GB2312" w:hAnsi="仿宋_GB2312" w:eastAsia="仿宋_GB2312" w:cs="仿宋_GB2312"/>
          <w:sz w:val="32"/>
          <w:szCs w:val="32"/>
          <w:lang w:bidi="ar-SA"/>
        </w:rPr>
        <w:t>）规划控制指标要求及有关规定进行规划设计。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五</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bCs/>
          <w:sz w:val="32"/>
          <w:szCs w:val="32"/>
          <w:lang w:val="en-US" w:eastAsia="zh-CN" w:bidi="ar-SA"/>
        </w:rPr>
        <w:t>取得JSH-B04-21-02地块</w:t>
      </w:r>
      <w:r>
        <w:rPr>
          <w:rFonts w:hint="eastAsia" w:ascii="仿宋_GB2312" w:hAnsi="仿宋_GB2312" w:eastAsia="仿宋_GB2312" w:cs="仿宋_GB2312"/>
          <w:sz w:val="32"/>
          <w:szCs w:val="32"/>
          <w:lang w:bidi="ar-SA"/>
        </w:rPr>
        <w:t>土地使用权者须按规划要求承担修竹路和文竹七路（包括雨水管、污水管、电力电缆沟和通信电缆沟）的建设，建成后无偿移交给政府相关部门并开放给公众使用。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六</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kern w:val="2"/>
          <w:sz w:val="32"/>
          <w:szCs w:val="32"/>
          <w:lang w:eastAsia="zh-CN" w:bidi="ar-SA"/>
        </w:rPr>
        <w:t>竞得人须按市委组织部出具的《金山湖片区</w:t>
      </w:r>
      <w:r>
        <w:rPr>
          <w:rFonts w:hint="eastAsia" w:ascii="仿宋_GB2312" w:hAnsi="仿宋_GB2312" w:eastAsia="仿宋_GB2312" w:cs="仿宋_GB2312"/>
          <w:bCs/>
          <w:sz w:val="32"/>
          <w:szCs w:val="32"/>
          <w:lang w:val="en-US" w:eastAsia="zh-CN" w:bidi="ar-SA"/>
        </w:rPr>
        <w:t>JSH-B04-21-02</w:t>
      </w:r>
      <w:r>
        <w:rPr>
          <w:rFonts w:hint="eastAsia" w:ascii="仿宋_GB2312" w:hAnsi="仿宋_GB2312" w:eastAsia="仿宋_GB2312" w:cs="仿宋_GB2312"/>
          <w:kern w:val="2"/>
          <w:sz w:val="32"/>
          <w:szCs w:val="32"/>
          <w:lang w:eastAsia="zh-CN" w:bidi="ar-SA"/>
        </w:rPr>
        <w:t>地块配建人才房建设要求》配建人才房，并无偿移交市机关事务管理局。</w:t>
      </w:r>
    </w:p>
    <w:p>
      <w:pPr>
        <w:keepNext w:val="0"/>
        <w:keepLines w:val="0"/>
        <w:pageBreakBefore w:val="0"/>
        <w:widowControl w:val="0"/>
        <w:kinsoku/>
        <w:wordWrap/>
        <w:overflowPunct/>
        <w:topLinePunct w:val="0"/>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七</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bCs/>
          <w:sz w:val="32"/>
          <w:szCs w:val="32"/>
          <w:lang w:val="en-US" w:eastAsia="zh-CN" w:bidi="ar-SA"/>
        </w:rPr>
        <w:t>该地块采取“限地价、竞配建”供地方式，竞得人首先须配建总建筑面积不低于3000㎡的人才房并无偿移交政府，当该地块竞价至60350万元时，还须转入竞争配建无偿移交人才房面积环节，每次面积增加幅度为600㎡</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val="en-US" w:eastAsia="zh-CN" w:bidi="ar-SA"/>
        </w:rPr>
        <w:t>八</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sz w:val="32"/>
          <w:szCs w:val="32"/>
          <w:lang w:bidi="ar-SA"/>
        </w:rPr>
        <w:t>竞得人有下列行为之一的，视为违约，取消竞得人资格，</w:t>
      </w:r>
      <w:r>
        <w:rPr>
          <w:rFonts w:hint="eastAsia" w:ascii="仿宋_GB2312" w:hAnsi="仿宋_GB2312" w:eastAsia="仿宋_GB2312" w:cs="仿宋_GB2312"/>
          <w:sz w:val="32"/>
          <w:szCs w:val="32"/>
          <w:lang w:val="en-US" w:eastAsia="zh-CN" w:bidi="ar-SA"/>
        </w:rPr>
        <w:t>定金不予退还</w:t>
      </w:r>
      <w:r>
        <w:rPr>
          <w:rFonts w:hint="eastAsia" w:ascii="仿宋_GB2312" w:hAnsi="仿宋_GB2312" w:eastAsia="仿宋_GB2312" w:cs="仿宋_GB2312"/>
          <w:sz w:val="32"/>
          <w:szCs w:val="32"/>
          <w:lang w:bidi="ar-SA"/>
        </w:rPr>
        <w:t>,并由有关部门依法处理;造成损失的，竞得人还应依法承担赔偿责任：</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1、不符合竞买资格条件的；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2、采取行贿、恶意串通等非法手段竞得的；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3、竞得人以其他非法手段竞得的；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4、竞得人逾期或拒绝签订《成交确认书》的；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5、竞得人逾期或拒绝签订《出让合同》的；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6、不按本须知规定提供有关纸质文件材料，或提供虚假文件材料、隐瞒重要事实，引起交易纠纷的；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7、构成违约责任的其他行为。</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九</w:t>
      </w:r>
      <w:r>
        <w:rPr>
          <w:rFonts w:hint="eastAsia" w:ascii="仿宋_GB2312" w:hAnsi="仿宋_GB2312" w:eastAsia="仿宋_GB2312" w:cs="仿宋_GB2312"/>
          <w:sz w:val="32"/>
          <w:szCs w:val="32"/>
          <w:lang w:bidi="ar-SA"/>
        </w:rPr>
        <w:t>）挂牌出让价款不含应由竞得人缴纳的契税、印花税等有关费用。</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联系地址：惠州市</w:t>
      </w:r>
      <w:r>
        <w:rPr>
          <w:rFonts w:hint="eastAsia" w:ascii="仿宋_GB2312" w:hAnsi="仿宋_GB2312" w:eastAsia="仿宋_GB2312" w:cs="仿宋_GB2312"/>
          <w:sz w:val="32"/>
          <w:szCs w:val="32"/>
          <w:lang w:val="en-US" w:eastAsia="zh-CN"/>
        </w:rPr>
        <w:t>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叶小姐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2896312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）惠州市公共资源交易中心</w:t>
      </w:r>
    </w:p>
    <w:p>
      <w:pPr>
        <w:tabs>
          <w:tab w:val="left" w:pos="720"/>
          <w:tab w:val="left" w:pos="4680"/>
        </w:tabs>
        <w:ind w:left="4318" w:leftChars="304" w:right="-756" w:rightChars="-360" w:hanging="3680" w:hangingChars="11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w:t>
      </w:r>
    </w:p>
    <w:p>
      <w:pPr>
        <w:tabs>
          <w:tab w:val="left" w:pos="720"/>
          <w:tab w:val="left" w:pos="4680"/>
        </w:tabs>
        <w:ind w:right="-756" w:rightChars="-36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务中心3号楼</w:t>
      </w:r>
    </w:p>
    <w:p>
      <w:pPr>
        <w:tabs>
          <w:tab w:val="left" w:pos="720"/>
          <w:tab w:val="left" w:pos="4680"/>
        </w:tabs>
        <w:ind w:right="-756" w:rightChars="-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注：本公告同时在下列网站及场所发布</w:t>
      </w:r>
    </w:p>
    <w:p>
      <w:pPr>
        <w:spacing w:line="520" w:lineRule="exact"/>
        <w:ind w:firstLine="555"/>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中国土地市场网: http://www.landchina.com</w:t>
      </w:r>
    </w:p>
    <w:p>
      <w:pPr>
        <w:spacing w:line="520" w:lineRule="exact"/>
        <w:ind w:firstLine="555"/>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广东省土地市场网：</w:t>
      </w:r>
      <w:r>
        <w:rPr>
          <w:rFonts w:hint="eastAsia" w:ascii="仿宋_GB2312" w:hAnsi="仿宋_GB2312" w:eastAsia="仿宋_GB2312" w:cs="仿宋_GB2312"/>
          <w:sz w:val="32"/>
          <w:szCs w:val="32"/>
          <w:lang w:bidi="ar-SA"/>
        </w:rPr>
        <w:fldChar w:fldCharType="begin"/>
      </w:r>
      <w:r>
        <w:rPr>
          <w:rFonts w:hint="eastAsia" w:ascii="仿宋_GB2312" w:hAnsi="仿宋_GB2312" w:eastAsia="仿宋_GB2312" w:cs="仿宋_GB2312"/>
          <w:sz w:val="32"/>
          <w:szCs w:val="32"/>
          <w:lang w:bidi="ar-SA"/>
        </w:rPr>
        <w:instrText xml:space="preserve">HYPERLINK "http://www.landgd.com"</w:instrText>
      </w:r>
      <w:r>
        <w:rPr>
          <w:rFonts w:hint="eastAsia" w:ascii="仿宋_GB2312" w:hAnsi="仿宋_GB2312" w:eastAsia="仿宋_GB2312" w:cs="仿宋_GB2312"/>
          <w:sz w:val="32"/>
          <w:szCs w:val="32"/>
          <w:lang w:bidi="ar-SA"/>
        </w:rPr>
        <w:fldChar w:fldCharType="separate"/>
      </w:r>
      <w:r>
        <w:rPr>
          <w:rFonts w:hint="eastAsia" w:ascii="仿宋_GB2312" w:hAnsi="仿宋_GB2312" w:eastAsia="仿宋_GB2312" w:cs="仿宋_GB2312"/>
          <w:sz w:val="32"/>
          <w:szCs w:val="32"/>
          <w:lang w:bidi="ar-SA"/>
        </w:rPr>
        <w:t>http://www.landgd.com</w:t>
      </w:r>
      <w:r>
        <w:rPr>
          <w:rFonts w:hint="eastAsia" w:ascii="仿宋_GB2312" w:hAnsi="仿宋_GB2312" w:eastAsia="仿宋_GB2312" w:cs="仿宋_GB2312"/>
          <w:sz w:val="32"/>
          <w:szCs w:val="32"/>
          <w:lang w:bidi="ar-SA"/>
        </w:rPr>
        <w:fldChar w:fldCharType="end"/>
      </w:r>
    </w:p>
    <w:p>
      <w:pPr>
        <w:spacing w:line="520" w:lineRule="exact"/>
        <w:ind w:firstLine="555"/>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惠州市自然资源局网站：http://land.huizhou.gov.cn</w:t>
      </w:r>
    </w:p>
    <w:p>
      <w:pPr>
        <w:spacing w:line="520" w:lineRule="exact"/>
        <w:ind w:firstLine="555"/>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惠州市公共资源交易中心网：</w:t>
      </w:r>
      <w:r>
        <w:rPr>
          <w:rFonts w:hint="eastAsia" w:ascii="仿宋_GB2312" w:hAnsi="仿宋_GB2312" w:eastAsia="仿宋_GB2312" w:cs="仿宋_GB2312"/>
          <w:sz w:val="32"/>
          <w:szCs w:val="32"/>
          <w:lang w:bidi="ar-SA"/>
        </w:rPr>
        <w:fldChar w:fldCharType="begin"/>
      </w:r>
      <w:r>
        <w:rPr>
          <w:rFonts w:hint="eastAsia" w:ascii="仿宋_GB2312" w:hAnsi="仿宋_GB2312" w:eastAsia="仿宋_GB2312" w:cs="仿宋_GB2312"/>
          <w:sz w:val="32"/>
          <w:szCs w:val="32"/>
          <w:lang w:bidi="ar-SA"/>
        </w:rPr>
        <w:instrText xml:space="preserve">HYPERLINK "http://zyjy.huizhou.gov.cn"</w:instrText>
      </w:r>
      <w:r>
        <w:rPr>
          <w:rFonts w:hint="eastAsia" w:ascii="仿宋_GB2312" w:hAnsi="仿宋_GB2312" w:eastAsia="仿宋_GB2312" w:cs="仿宋_GB2312"/>
          <w:sz w:val="32"/>
          <w:szCs w:val="32"/>
          <w:lang w:bidi="ar-SA"/>
        </w:rPr>
        <w:fldChar w:fldCharType="separate"/>
      </w:r>
      <w:r>
        <w:rPr>
          <w:rFonts w:hint="eastAsia" w:ascii="仿宋_GB2312" w:hAnsi="仿宋_GB2312" w:eastAsia="仿宋_GB2312" w:cs="仿宋_GB2312"/>
          <w:sz w:val="32"/>
          <w:szCs w:val="32"/>
          <w:lang w:bidi="ar-SA"/>
        </w:rPr>
        <w:t>http://zyjy.huizhou.gov.cn</w:t>
      </w:r>
      <w:r>
        <w:rPr>
          <w:rFonts w:hint="eastAsia" w:ascii="仿宋_GB2312" w:hAnsi="仿宋_GB2312" w:eastAsia="仿宋_GB2312" w:cs="仿宋_GB2312"/>
          <w:sz w:val="32"/>
          <w:szCs w:val="32"/>
          <w:lang w:bidi="ar-SA"/>
        </w:rPr>
        <w:fldChar w:fldCharType="end"/>
      </w:r>
    </w:p>
    <w:p>
      <w:pPr>
        <w:spacing w:line="520" w:lineRule="exact"/>
        <w:ind w:firstLine="555"/>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惠州市公共资源交易中心交易大厅现场。</w:t>
      </w:r>
    </w:p>
    <w:p>
      <w:pPr>
        <w:spacing w:line="520" w:lineRule="exact"/>
        <w:ind w:left="487" w:leftChars="232"/>
        <w:rPr>
          <w:rFonts w:hint="eastAsia" w:ascii="仿宋_GB2312" w:hAnsi="仿宋_GB2312" w:eastAsia="仿宋_GB2312" w:cs="仿宋_GB2312"/>
          <w:color w:val="696969"/>
          <w:sz w:val="32"/>
          <w:szCs w:val="32"/>
          <w:lang w:bidi="ar-SA"/>
        </w:rPr>
      </w:pPr>
      <w:r>
        <w:rPr>
          <w:rFonts w:hint="eastAsia" w:ascii="仿宋_GB2312" w:hAnsi="仿宋_GB2312" w:eastAsia="仿宋_GB2312" w:cs="仿宋_GB2312"/>
          <w:sz w:val="32"/>
          <w:szCs w:val="32"/>
          <w:lang w:bidi="ar-SA"/>
        </w:rPr>
        <w:t>数字证书办理地址：</w:t>
      </w:r>
      <w:r>
        <w:rPr>
          <w:rFonts w:hint="eastAsia" w:ascii="仿宋_GB2312" w:hAnsi="仿宋_GB2312" w:eastAsia="仿宋_GB2312" w:cs="仿宋_GB2312"/>
          <w:color w:val="000000"/>
          <w:sz w:val="32"/>
          <w:szCs w:val="32"/>
          <w:lang w:bidi="ar-SA"/>
        </w:rPr>
        <w:t>惠州市江北云山西路二号帝景国际商务中心七层18-22房。</w:t>
      </w:r>
    </w:p>
    <w:p>
      <w:pPr>
        <w:spacing w:line="520" w:lineRule="exact"/>
        <w:ind w:firstLine="555"/>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联系电话：0752-2898481</w:t>
      </w:r>
    </w:p>
    <w:p>
      <w:pPr>
        <w:spacing w:line="520" w:lineRule="exact"/>
        <w:ind w:right="640"/>
        <w:rPr>
          <w:rFonts w:hint="eastAsia" w:ascii="仿宋_GB2312" w:eastAsia="仿宋_GB2312" w:cs="仿宋_GB2312"/>
          <w:sz w:val="32"/>
          <w:szCs w:val="32"/>
          <w:lang w:bidi="ar-SA"/>
        </w:rPr>
      </w:pPr>
    </w:p>
    <w:p>
      <w:pPr>
        <w:spacing w:line="520" w:lineRule="exact"/>
        <w:ind w:right="640" w:firstLine="5033" w:firstLineChars="1573"/>
        <w:rPr>
          <w:rFonts w:hint="eastAsia" w:ascii="仿宋_GB2312" w:eastAsia="仿宋_GB2312" w:cs="仿宋_GB2312"/>
          <w:sz w:val="32"/>
          <w:szCs w:val="32"/>
          <w:lang w:bidi="ar-SA"/>
        </w:rPr>
      </w:pPr>
      <w:r>
        <w:rPr>
          <w:rFonts w:hint="eastAsia" w:ascii="仿宋_GB2312" w:eastAsia="仿宋_GB2312" w:cs="仿宋_GB2312"/>
          <w:sz w:val="32"/>
          <w:szCs w:val="32"/>
          <w:lang w:bidi="ar-SA"/>
        </w:rPr>
        <w:t>惠州市自然资源局</w:t>
      </w:r>
    </w:p>
    <w:p>
      <w:pPr>
        <w:spacing w:line="520" w:lineRule="exact"/>
        <w:ind w:right="640" w:firstLine="4640" w:firstLineChars="1450"/>
        <w:rPr>
          <w:rFonts w:hint="eastAsia" w:ascii="仿宋_GB2312" w:eastAsia="仿宋_GB2312"/>
          <w:sz w:val="32"/>
          <w:szCs w:val="32"/>
        </w:rPr>
      </w:pPr>
      <w:r>
        <w:rPr>
          <w:rFonts w:hint="eastAsia" w:ascii="仿宋_GB2312" w:eastAsia="仿宋_GB2312" w:cs="仿宋_GB2312"/>
          <w:sz w:val="32"/>
          <w:szCs w:val="32"/>
          <w:lang w:bidi="ar-SA"/>
        </w:rPr>
        <w:t>惠州市公共资源交易中心</w:t>
      </w:r>
    </w:p>
    <w:p>
      <w:pPr>
        <w:spacing w:line="520" w:lineRule="exact"/>
        <w:ind w:right="640" w:firstLine="5120" w:firstLineChars="1600"/>
        <w:rPr>
          <w:rFonts w:hint="default" w:ascii="仿宋_GB2312" w:eastAsia="仿宋_GB2312" w:cs="仿宋_GB2312"/>
          <w:sz w:val="32"/>
          <w:szCs w:val="32"/>
          <w:lang w:val="en-US" w:eastAsia="zh-CN" w:bidi="ar-SA"/>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eastAsia="仿宋_GB2312" w:cs="仿宋_GB2312"/>
          <w:sz w:val="32"/>
          <w:szCs w:val="32"/>
          <w:lang w:val="en-US" w:eastAsia="zh-CN" w:bidi="ar-SA"/>
        </w:rPr>
        <w:t>2021年6月8日</w:t>
      </w:r>
    </w:p>
    <w:p>
      <w:pPr>
        <w:spacing w:line="360" w:lineRule="auto"/>
        <w:rPr>
          <w:rFonts w:hint="eastAsia" w:ascii="仿宋_GB2312" w:eastAsia="仿宋_GB2312"/>
          <w:sz w:val="32"/>
          <w:szCs w:val="32"/>
        </w:rPr>
      </w:pPr>
      <w:r>
        <w:rPr>
          <w:rFonts w:hint="eastAsia" w:asci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75"/>
        <w:gridCol w:w="780"/>
        <w:gridCol w:w="540"/>
        <w:gridCol w:w="714"/>
        <w:gridCol w:w="1176"/>
        <w:gridCol w:w="705"/>
        <w:gridCol w:w="735"/>
        <w:gridCol w:w="1178"/>
        <w:gridCol w:w="1144"/>
        <w:gridCol w:w="642"/>
        <w:gridCol w:w="1182"/>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64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7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8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4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1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cs="宋体"/>
                <w:b/>
                <w:bCs/>
                <w:szCs w:val="21"/>
                <w:lang w:bidi="ar-SA"/>
              </w:rPr>
              <w:t>㎡</w:t>
            </w:r>
            <w:r>
              <w:rPr>
                <w:rFonts w:hint="eastAsia" w:ascii="仿宋_GB2312" w:eastAsia="仿宋_GB2312"/>
                <w:b/>
                <w:bCs/>
                <w:szCs w:val="21"/>
              </w:rPr>
              <w:t>）</w:t>
            </w:r>
          </w:p>
        </w:tc>
        <w:tc>
          <w:tcPr>
            <w:tcW w:w="6762"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864"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645" w:type="dxa"/>
            <w:vMerge w:val="continue"/>
            <w:vAlign w:val="center"/>
          </w:tcPr>
          <w:p/>
        </w:tc>
        <w:tc>
          <w:tcPr>
            <w:tcW w:w="675" w:type="dxa"/>
            <w:vMerge w:val="continue"/>
            <w:vAlign w:val="center"/>
          </w:tcPr>
          <w:p/>
        </w:tc>
        <w:tc>
          <w:tcPr>
            <w:tcW w:w="780" w:type="dxa"/>
            <w:vMerge w:val="continue"/>
            <w:vAlign w:val="center"/>
          </w:tcPr>
          <w:p/>
        </w:tc>
        <w:tc>
          <w:tcPr>
            <w:tcW w:w="540" w:type="dxa"/>
            <w:vMerge w:val="continue"/>
            <w:vAlign w:val="center"/>
          </w:tcPr>
          <w:p/>
        </w:tc>
        <w:tc>
          <w:tcPr>
            <w:tcW w:w="714" w:type="dxa"/>
            <w:vMerge w:val="continue"/>
            <w:vAlign w:val="center"/>
          </w:tcPr>
          <w:p/>
        </w:tc>
        <w:tc>
          <w:tcPr>
            <w:tcW w:w="1176"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cs="宋体"/>
                <w:b/>
                <w:bCs/>
                <w:szCs w:val="21"/>
                <w:lang w:bidi="ar-SA"/>
              </w:rPr>
              <w:t>㎡</w:t>
            </w:r>
            <w:r>
              <w:rPr>
                <w:rFonts w:hint="eastAsia" w:ascii="仿宋_GB2312" w:eastAsia="仿宋_GB2312"/>
                <w:b/>
                <w:bCs/>
                <w:szCs w:val="21"/>
              </w:rPr>
              <w:t>）</w:t>
            </w:r>
          </w:p>
        </w:tc>
        <w:tc>
          <w:tcPr>
            <w:tcW w:w="705"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cs="宋体"/>
                <w:b/>
                <w:szCs w:val="21"/>
                <w:lang w:bidi="ar-SA"/>
              </w:rPr>
              <w:t>（％）</w:t>
            </w:r>
          </w:p>
        </w:tc>
        <w:tc>
          <w:tcPr>
            <w:tcW w:w="735"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178"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cs="宋体"/>
                <w:b/>
                <w:bCs/>
                <w:szCs w:val="21"/>
                <w:lang w:bidi="ar-SA"/>
              </w:rPr>
              <w:t>㎡</w:t>
            </w:r>
            <w:r>
              <w:rPr>
                <w:rFonts w:hint="eastAsia" w:ascii="仿宋_GB2312" w:eastAsia="仿宋_GB2312"/>
                <w:b/>
                <w:bCs/>
                <w:szCs w:val="21"/>
              </w:rPr>
              <w:t>）</w:t>
            </w:r>
          </w:p>
        </w:tc>
        <w:tc>
          <w:tcPr>
            <w:tcW w:w="1144"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642"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ascii="仿宋_GB2312" w:eastAsia="仿宋_GB2312"/>
                <w:b/>
                <w:bCs/>
              </w:rPr>
            </w:pPr>
            <w:r>
              <w:rPr>
                <w:rFonts w:hint="eastAsia" w:ascii="宋体" w:cs="宋体"/>
                <w:b/>
                <w:szCs w:val="21"/>
                <w:lang w:bidi="ar-SA"/>
              </w:rPr>
              <w:t>（％）</w:t>
            </w:r>
          </w:p>
        </w:tc>
        <w:tc>
          <w:tcPr>
            <w:tcW w:w="1182"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864"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45" w:type="dxa"/>
            <w:tcMar>
              <w:left w:w="0" w:type="dxa"/>
              <w:right w:w="0" w:type="dxa"/>
            </w:tcMar>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GP2021-15</w:t>
            </w:r>
          </w:p>
        </w:tc>
        <w:tc>
          <w:tcPr>
            <w:tcW w:w="675" w:type="dxa"/>
            <w:vAlign w:val="center"/>
          </w:tcPr>
          <w:p>
            <w:pPr>
              <w:jc w:val="center"/>
              <w:rPr>
                <w:rFonts w:hint="default" w:ascii="仿宋_GB2312" w:eastAsia="仿宋_GB2312" w:cs="Times New Roman"/>
                <w:szCs w:val="21"/>
                <w:lang w:val="en-US" w:bidi="ar-SA"/>
              </w:rPr>
            </w:pPr>
            <w:r>
              <w:rPr>
                <w:rFonts w:hint="eastAsia" w:ascii="仿宋_GB2312" w:eastAsia="仿宋_GB2312" w:cs="Times New Roman"/>
                <w:szCs w:val="21"/>
                <w:lang w:val="en-US" w:eastAsia="zh-CN" w:bidi="ar-SA"/>
              </w:rPr>
              <w:t>惠州市惠城区</w:t>
            </w:r>
            <w:r>
              <w:rPr>
                <w:rFonts w:hint="eastAsia" w:ascii="仿宋_GB2312" w:eastAsia="仿宋_GB2312" w:cs="Times New Roman"/>
                <w:szCs w:val="21"/>
                <w:lang w:bidi="ar-SA"/>
              </w:rPr>
              <w:t>金山湖</w:t>
            </w:r>
            <w:r>
              <w:rPr>
                <w:rFonts w:hint="eastAsia" w:ascii="仿宋_GB2312" w:eastAsia="仿宋_GB2312" w:cs="Times New Roman"/>
                <w:szCs w:val="21"/>
                <w:lang w:eastAsia="zh-CN" w:bidi="ar-SA"/>
              </w:rPr>
              <w:t>片区</w:t>
            </w:r>
            <w:r>
              <w:rPr>
                <w:rFonts w:hint="default" w:ascii="仿宋_GB2312" w:eastAsia="仿宋_GB2312" w:cs="Times New Roman"/>
                <w:szCs w:val="21"/>
                <w:lang w:val="en-US" w:eastAsia="zh-CN" w:bidi="ar-SA"/>
              </w:rPr>
              <w:t>JSH-B04-21</w:t>
            </w:r>
            <w:r>
              <w:rPr>
                <w:rFonts w:hint="eastAsia" w:ascii="仿宋_GB2312" w:eastAsia="仿宋_GB2312" w:cs="Times New Roman"/>
                <w:szCs w:val="21"/>
                <w:lang w:val="en-US" w:eastAsia="zh-CN" w:bidi="ar-SA"/>
              </w:rPr>
              <w:t>-02地块</w:t>
            </w:r>
          </w:p>
        </w:tc>
        <w:tc>
          <w:tcPr>
            <w:tcW w:w="780" w:type="dxa"/>
            <w:vAlign w:val="center"/>
          </w:tcPr>
          <w:p>
            <w:pPr>
              <w:jc w:val="center"/>
              <w:rPr>
                <w:rFonts w:hint="eastAsia" w:ascii="仿宋_GB2312" w:eastAsia="仿宋_GB2312" w:cs="Times New Roman"/>
                <w:szCs w:val="21"/>
                <w:lang w:val="en-US" w:eastAsia="zh-CN" w:bidi="ar-SA"/>
              </w:rPr>
            </w:pPr>
            <w:r>
              <w:rPr>
                <w:rFonts w:hint="default" w:ascii="仿宋_GB2312" w:eastAsia="仿宋_GB2312" w:cs="Times New Roman"/>
                <w:szCs w:val="21"/>
                <w:lang w:val="en-US" w:eastAsia="zh-CN" w:bidi="ar-SA"/>
              </w:rPr>
              <w:t>JSH-B04-21</w:t>
            </w:r>
            <w:r>
              <w:rPr>
                <w:rFonts w:hint="eastAsia" w:ascii="仿宋_GB2312" w:eastAsia="仿宋_GB2312" w:cs="Times New Roman"/>
                <w:szCs w:val="21"/>
                <w:lang w:val="en-US" w:eastAsia="zh-CN" w:bidi="ar-SA"/>
              </w:rPr>
              <w:t>-02</w:t>
            </w:r>
          </w:p>
        </w:tc>
        <w:tc>
          <w:tcPr>
            <w:tcW w:w="540" w:type="dxa"/>
            <w:tcMar>
              <w:left w:w="0" w:type="dxa"/>
              <w:right w:w="0" w:type="dxa"/>
            </w:tcMar>
            <w:vAlign w:val="center"/>
          </w:tcPr>
          <w:p>
            <w:pPr>
              <w:jc w:val="center"/>
              <w:rPr>
                <w:rFonts w:hint="eastAsia" w:ascii="仿宋_GB2312" w:eastAsia="仿宋_GB2312" w:cs="Times New Roman"/>
                <w:szCs w:val="21"/>
                <w:lang w:val="en-US" w:eastAsia="zh-CN" w:bidi="ar-SA"/>
              </w:rPr>
            </w:pPr>
            <w:r>
              <w:rPr>
                <w:rFonts w:hint="eastAsia" w:ascii="仿宋_GB2312" w:eastAsia="仿宋_GB2312" w:cs="Times New Roman"/>
                <w:szCs w:val="21"/>
                <w:lang w:val="en-US" w:eastAsia="zh-CN" w:bidi="ar-SA"/>
              </w:rPr>
              <w:t>城镇住宅用地、商服用地</w:t>
            </w:r>
          </w:p>
        </w:tc>
        <w:tc>
          <w:tcPr>
            <w:tcW w:w="714" w:type="dxa"/>
            <w:vAlign w:val="center"/>
          </w:tcPr>
          <w:p>
            <w:pPr>
              <w:jc w:val="center"/>
              <w:rPr>
                <w:rFonts w:hint="default" w:ascii="仿宋_GB2312" w:eastAsia="仿宋_GB2312" w:cs="Times New Roman"/>
                <w:szCs w:val="21"/>
                <w:lang w:val="en-US" w:eastAsia="zh-CN" w:bidi="ar-SA"/>
              </w:rPr>
            </w:pPr>
            <w:r>
              <w:rPr>
                <w:rFonts w:hint="default" w:ascii="仿宋_GB2312" w:eastAsia="仿宋_GB2312" w:cs="Times New Roman"/>
                <w:szCs w:val="21"/>
                <w:lang w:val="en-US" w:eastAsia="zh-CN" w:bidi="ar-SA"/>
              </w:rPr>
              <w:t>17194.39</w:t>
            </w:r>
          </w:p>
        </w:tc>
        <w:tc>
          <w:tcPr>
            <w:tcW w:w="1176" w:type="dxa"/>
            <w:vAlign w:val="center"/>
          </w:tcPr>
          <w:p>
            <w:pPr>
              <w:jc w:val="center"/>
              <w:rPr>
                <w:rFonts w:hint="default" w:ascii="仿宋_GB2312" w:eastAsia="仿宋_GB2312" w:cs="Times New Roman"/>
                <w:szCs w:val="21"/>
                <w:lang w:val="en-US" w:eastAsia="zh-CN" w:bidi="ar-SA"/>
              </w:rPr>
            </w:pPr>
            <w:r>
              <w:rPr>
                <w:rFonts w:hint="default" w:ascii="仿宋_GB2312" w:eastAsia="仿宋_GB2312" w:cs="Times New Roman"/>
                <w:szCs w:val="21"/>
                <w:lang w:val="en-US" w:eastAsia="zh-CN" w:bidi="ar-SA"/>
              </w:rPr>
              <w:t>21736.67</w:t>
            </w:r>
          </w:p>
        </w:tc>
        <w:tc>
          <w:tcPr>
            <w:tcW w:w="705" w:type="dxa"/>
            <w:vAlign w:val="center"/>
          </w:tcPr>
          <w:p>
            <w:pPr>
              <w:jc w:val="center"/>
              <w:rPr>
                <w:rFonts w:hint="default" w:ascii="仿宋_GB2312" w:eastAsia="仿宋_GB2312" w:cs="Times New Roman"/>
                <w:szCs w:val="21"/>
                <w:lang w:val="en-US" w:eastAsia="zh-CN" w:bidi="ar-SA"/>
              </w:rPr>
            </w:pPr>
            <w:r>
              <w:rPr>
                <w:rFonts w:hint="default" w:ascii="仿宋_GB2312" w:eastAsia="仿宋_GB2312" w:cs="Times New Roman"/>
                <w:szCs w:val="21"/>
                <w:lang w:val="en-US" w:eastAsia="zh-CN" w:bidi="ar-SA"/>
              </w:rPr>
              <w:t>≤22</w:t>
            </w:r>
          </w:p>
        </w:tc>
        <w:tc>
          <w:tcPr>
            <w:tcW w:w="735" w:type="dxa"/>
            <w:vAlign w:val="center"/>
          </w:tcPr>
          <w:p>
            <w:pPr>
              <w:jc w:val="center"/>
              <w:rPr>
                <w:rFonts w:hint="default" w:ascii="仿宋_GB2312" w:eastAsia="仿宋_GB2312" w:cs="Times New Roman"/>
                <w:szCs w:val="21"/>
                <w:lang w:val="en-US" w:eastAsia="zh-CN" w:bidi="ar-SA"/>
              </w:rPr>
            </w:pPr>
            <w:r>
              <w:rPr>
                <w:rFonts w:hint="default" w:ascii="仿宋_GB2312" w:eastAsia="仿宋_GB2312" w:cs="Times New Roman"/>
                <w:szCs w:val="21"/>
                <w:lang w:val="en-US" w:eastAsia="zh-CN" w:bidi="ar-SA"/>
              </w:rPr>
              <w:t>≤3.1</w:t>
            </w:r>
          </w:p>
        </w:tc>
        <w:tc>
          <w:tcPr>
            <w:tcW w:w="1178" w:type="dxa"/>
            <w:vAlign w:val="center"/>
          </w:tcPr>
          <w:p>
            <w:pPr>
              <w:jc w:val="center"/>
              <w:rPr>
                <w:rFonts w:hint="default" w:ascii="仿宋_GB2312" w:eastAsia="仿宋_GB2312" w:cs="Times New Roman"/>
                <w:szCs w:val="21"/>
                <w:lang w:val="en-US" w:eastAsia="zh-CN" w:bidi="ar-SA"/>
              </w:rPr>
            </w:pPr>
            <w:r>
              <w:rPr>
                <w:rFonts w:hint="default" w:ascii="仿宋_GB2312" w:eastAsia="仿宋_GB2312" w:cs="Times New Roman"/>
                <w:szCs w:val="21"/>
                <w:lang w:val="en-US" w:eastAsia="zh-CN" w:bidi="ar-SA"/>
              </w:rPr>
              <w:t>≤67384</w:t>
            </w:r>
          </w:p>
        </w:tc>
        <w:tc>
          <w:tcPr>
            <w:tcW w:w="1144" w:type="dxa"/>
            <w:vAlign w:val="center"/>
          </w:tcPr>
          <w:p>
            <w:pPr>
              <w:jc w:val="center"/>
              <w:rPr>
                <w:rFonts w:hint="eastAsia" w:ascii="仿宋_GB2312" w:eastAsia="仿宋_GB2312" w:cs="Times New Roman"/>
                <w:szCs w:val="21"/>
                <w:lang w:val="en-US" w:eastAsia="zh-CN" w:bidi="ar-SA"/>
              </w:rPr>
            </w:pPr>
            <w:r>
              <w:rPr>
                <w:rFonts w:hint="eastAsia" w:ascii="仿宋_GB2312" w:eastAsia="仿宋_GB2312" w:cs="Times New Roman"/>
                <w:szCs w:val="21"/>
                <w:lang w:val="en-US" w:eastAsia="zh-CN" w:bidi="ar-SA"/>
              </w:rPr>
              <w:t>每100㎡计容积率面积≥1个</w:t>
            </w:r>
          </w:p>
        </w:tc>
        <w:tc>
          <w:tcPr>
            <w:tcW w:w="642" w:type="dxa"/>
            <w:vAlign w:val="center"/>
          </w:tcPr>
          <w:p>
            <w:pPr>
              <w:jc w:val="center"/>
              <w:rPr>
                <w:rFonts w:hint="eastAsia" w:ascii="仿宋_GB2312" w:eastAsia="仿宋_GB2312" w:cs="Times New Roman"/>
                <w:szCs w:val="21"/>
                <w:lang w:val="en-US" w:eastAsia="zh-CN" w:bidi="ar-SA"/>
              </w:rPr>
            </w:pPr>
            <w:r>
              <w:rPr>
                <w:rFonts w:hint="eastAsia" w:ascii="仿宋_GB2312" w:eastAsia="仿宋_GB2312" w:cs="Times New Roman"/>
                <w:szCs w:val="21"/>
                <w:lang w:val="en-US" w:eastAsia="zh-CN" w:bidi="ar-SA"/>
              </w:rPr>
              <w:t>≥35</w:t>
            </w:r>
          </w:p>
        </w:tc>
        <w:tc>
          <w:tcPr>
            <w:tcW w:w="1182" w:type="dxa"/>
            <w:vAlign w:val="center"/>
          </w:tcPr>
          <w:p>
            <w:pPr>
              <w:jc w:val="center"/>
              <w:rPr>
                <w:rFonts w:hint="eastAsia" w:ascii="仿宋_GB2312" w:eastAsia="仿宋_GB2312" w:cs="Times New Roman"/>
                <w:szCs w:val="21"/>
                <w:lang w:val="en-US" w:eastAsia="zh-CN" w:bidi="ar-SA"/>
              </w:rPr>
            </w:pPr>
            <w:r>
              <w:rPr>
                <w:rFonts w:hint="eastAsia" w:ascii="仿宋_GB2312" w:eastAsia="仿宋_GB2312" w:cs="Times New Roman"/>
                <w:szCs w:val="21"/>
                <w:lang w:val="en-US" w:eastAsia="zh-CN" w:bidi="ar-SA"/>
              </w:rPr>
              <w:t>住宅、商业及配套设施</w:t>
            </w:r>
          </w:p>
        </w:tc>
        <w:tc>
          <w:tcPr>
            <w:tcW w:w="864" w:type="dxa"/>
            <w:vAlign w:val="center"/>
          </w:tcPr>
          <w:p>
            <w:pPr>
              <w:jc w:val="center"/>
              <w:rPr>
                <w:rFonts w:hint="eastAsia" w:ascii="仿宋_GB2312" w:eastAsia="仿宋_GB2312" w:cs="Times New Roman"/>
                <w:szCs w:val="21"/>
                <w:lang w:val="en-US" w:eastAsia="zh-CN" w:bidi="ar-SA"/>
              </w:rPr>
            </w:pPr>
            <w:r>
              <w:rPr>
                <w:rFonts w:hint="eastAsia" w:ascii="仿宋_GB2312" w:eastAsia="仿宋_GB2312" w:cs="Times New Roman"/>
                <w:szCs w:val="21"/>
                <w:lang w:val="en-US" w:eastAsia="zh-CN" w:bidi="ar-SA"/>
              </w:rPr>
              <w:t>住宅70年、商服40年</w:t>
            </w:r>
          </w:p>
        </w:tc>
      </w:tr>
    </w:tbl>
    <w:p>
      <w:pPr>
        <w:pStyle w:val="2"/>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9865" cy="13144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9865" cy="131445"/>
                      </a:xfrm>
                      <a:prstGeom prst="rect">
                        <a:avLst/>
                      </a:prstGeom>
                      <a:noFill/>
                      <a:ln>
                        <a:noFill/>
                      </a:ln>
                    </wps:spPr>
                    <wps:txbx>
                      <w:txbxContent>
                        <w:p>
                          <w:pPr>
                            <w:pStyle w:val="4"/>
                            <w:rPr>
                              <w:rStyle w:val="7"/>
                            </w:rPr>
                          </w:pPr>
                          <w:r>
                            <w:fldChar w:fldCharType="begin"/>
                          </w:r>
                          <w:r>
                            <w:rPr>
                              <w:rStyle w:val="7"/>
                            </w:rPr>
                            <w:instrText xml:space="preserve">PAGE  </w:instrText>
                          </w:r>
                          <w:r>
                            <w:fldChar w:fldCharType="separate"/>
                          </w:r>
                          <w:r>
                            <w:rPr>
                              <w:rStyle w:val="7"/>
                            </w:rPr>
                            <w:t>- 9 -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4.95pt;mso-position-horizontal:outside;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4pUEv0AAA&#10;AAMBAAAPAAAAAAAAAAEAIAAAACIAAABkcnMvZG93bnJldi54bWxQSwECFAAUAAAACACHTuJAHRyr&#10;O7QBAABJAwAADgAAAAAAAAABACAAAAAfAQAAZHJzL2Uyb0RvYy54bWxQSwUGAAAAAAYABgBZAQAA&#10;RQUAAAAA&#10;">
              <v:fill on="f" focussize="0,0"/>
              <v:stroke on="f"/>
              <v:imagedata o:title=""/>
              <o:lock v:ext="edit" aspectratio="f"/>
              <v:textbox inset="0mm,0mm,0mm,0mm" style="mso-fit-shape-to-text:t;">
                <w:txbxContent>
                  <w:p>
                    <w:pPr>
                      <w:pStyle w:val="4"/>
                      <w:rPr>
                        <w:rStyle w:val="7"/>
                      </w:rPr>
                    </w:pPr>
                    <w:r>
                      <w:fldChar w:fldCharType="begin"/>
                    </w:r>
                    <w:r>
                      <w:rPr>
                        <w:rStyle w:val="7"/>
                      </w:rPr>
                      <w:instrText xml:space="preserve">PAGE  </w:instrText>
                    </w:r>
                    <w:r>
                      <w:fldChar w:fldCharType="separate"/>
                    </w:r>
                    <w:r>
                      <w:rPr>
                        <w:rStyle w:val="7"/>
                      </w:rPr>
                      <w:t>- 9 -</w:t>
                    </w:r>
                    <w: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56515" cy="131445"/>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56515" cy="131445"/>
                      </a:xfrm>
                      <a:prstGeom prst="rect">
                        <a:avLst/>
                      </a:prstGeom>
                      <a:noFill/>
                      <a:ln>
                        <a:noFill/>
                      </a:ln>
                    </wps:spPr>
                    <wps:txbx>
                      <w:txbxContent>
                        <w:p>
                          <w:pPr>
                            <w:pStyle w:val="4"/>
                            <w:rPr>
                              <w:rStyle w:val="7"/>
                            </w:rPr>
                          </w:pPr>
                          <w:r>
                            <w:fldChar w:fldCharType="begin"/>
                          </w:r>
                          <w:r>
                            <w:rPr>
                              <w:rStyle w:val="7"/>
                            </w:rPr>
                            <w:instrText xml:space="preserve">PAGE  </w:instrText>
                          </w:r>
                          <w:r>
                            <w:fldChar w:fldCharType="separate"/>
                          </w:r>
                          <w:r>
                            <w:rPr>
                              <w:rStyle w:val="7"/>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45pt;mso-position-horizontal:outside;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ig6ofQAAAA&#10;AgEAAA8AAAAAAAAAAQAgAAAAIgAAAGRycy9kb3ducmV2LnhtbFBLAQIUABQAAAAIAIdO4kDM8oCm&#10;swEAAEgDAAAOAAAAAAAAAAEAIAAAAB8BAABkcnMvZTJvRG9jLnhtbFBLBQYAAAAABgAGAFkBAABE&#10;BQAAAAA=&#10;">
              <v:fill on="f" focussize="0,0"/>
              <v:stroke on="f"/>
              <v:imagedata o:title=""/>
              <o:lock v:ext="edit" aspectratio="f"/>
              <v:textbox inset="0mm,0mm,0mm,0mm" style="mso-fit-shape-to-text:t;">
                <w:txbxContent>
                  <w:p>
                    <w:pPr>
                      <w:pStyle w:val="4"/>
                      <w:rPr>
                        <w:rStyle w:val="7"/>
                      </w:rPr>
                    </w:pPr>
                    <w:r>
                      <w:fldChar w:fldCharType="begin"/>
                    </w:r>
                    <w:r>
                      <w:rPr>
                        <w:rStyle w:val="7"/>
                      </w:rPr>
                      <w:instrText xml:space="preserve">PAGE  </w:instrText>
                    </w:r>
                    <w:r>
                      <w:fldChar w:fldCharType="separate"/>
                    </w:r>
                    <w:r>
                      <w:rPr>
                        <w:rStyle w:val="7"/>
                      </w:rPr>
                      <w:t>1</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215F8"/>
    <w:rsid w:val="035E71EE"/>
    <w:rsid w:val="0B557342"/>
    <w:rsid w:val="19523D88"/>
    <w:rsid w:val="1FC26058"/>
    <w:rsid w:val="25EF49EA"/>
    <w:rsid w:val="266D6337"/>
    <w:rsid w:val="2C9D07C3"/>
    <w:rsid w:val="2DB95E52"/>
    <w:rsid w:val="2E9215F8"/>
    <w:rsid w:val="3683724C"/>
    <w:rsid w:val="38A81F89"/>
    <w:rsid w:val="3AD55D48"/>
    <w:rsid w:val="3D6C516A"/>
    <w:rsid w:val="41F90452"/>
    <w:rsid w:val="42CC66B3"/>
    <w:rsid w:val="4ED91702"/>
    <w:rsid w:val="5552377A"/>
    <w:rsid w:val="576C2BE6"/>
    <w:rsid w:val="5CD006F0"/>
    <w:rsid w:val="6582700D"/>
    <w:rsid w:val="670D0DA9"/>
    <w:rsid w:val="6AE438AD"/>
    <w:rsid w:val="6CC57E69"/>
    <w:rsid w:val="6F28197C"/>
    <w:rsid w:val="71911C09"/>
    <w:rsid w:val="7C6A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2"/>
      <w:lang w:val="en-US" w:eastAsia="zh-CN"/>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200" w:firstLineChars="200"/>
      <w:jc w:val="left"/>
    </w:pPr>
    <w:rPr>
      <w:rFonts w:ascii="仿宋_GB2312"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16</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2021-06-03T01:05:00Z</dcterms:created>
  <dc:creator>黄春枚</dc:creator>
  <cp:lastModifiedBy>黄春枚</cp:lastModifiedBy>
  <cp:lastPrinted>2021-06-08T09:28:45Z</cp:lastPrinted>
  <dcterms:modified xsi:type="dcterms:W3CDTF">2021-06-08T09:29:07Z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