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ind w:left="-420" w:leftChars="-200" w:right="-420" w:rightChars="-200" w:firstLine="0" w:firstLineChars="0"/>
        <w:jc w:val="center"/>
        <w:rPr>
          <w:rFonts w:eastAsia="方正小标宋_GBK"/>
          <w:b/>
          <w:bCs/>
          <w:spacing w:val="3"/>
          <w:sz w:val="44"/>
          <w:szCs w:val="44"/>
        </w:rPr>
      </w:pPr>
    </w:p>
    <w:p>
      <w:pPr>
        <w:tabs>
          <w:tab w:val="left" w:pos="11340"/>
        </w:tabs>
        <w:spacing w:line="520" w:lineRule="exact"/>
        <w:ind w:left="-420" w:leftChars="-200" w:right="-420" w:rightChars="-200" w:firstLine="0" w:firstLineChars="0"/>
        <w:jc w:val="center"/>
        <w:rPr>
          <w:rFonts w:eastAsia="方正小标宋_GBK"/>
          <w:b/>
          <w:bCs/>
          <w:spacing w:val="3"/>
          <w:sz w:val="44"/>
          <w:szCs w:val="44"/>
        </w:rPr>
      </w:pPr>
    </w:p>
    <w:p>
      <w:pPr>
        <w:tabs>
          <w:tab w:val="left" w:pos="11340"/>
        </w:tabs>
        <w:spacing w:line="520" w:lineRule="exact"/>
        <w:ind w:left="-420" w:leftChars="-200" w:right="-420" w:rightChars="-200" w:firstLine="0" w:firstLineChars="0"/>
        <w:jc w:val="center"/>
        <w:rPr>
          <w:rFonts w:eastAsia="方正小标宋_GBK"/>
          <w:b/>
          <w:bCs/>
          <w:spacing w:val="3"/>
          <w:sz w:val="44"/>
          <w:szCs w:val="44"/>
        </w:rPr>
      </w:pPr>
    </w:p>
    <w:p>
      <w:pPr>
        <w:tabs>
          <w:tab w:val="left" w:pos="11340"/>
        </w:tabs>
        <w:spacing w:line="520" w:lineRule="exact"/>
        <w:ind w:left="-420" w:leftChars="-200" w:right="-420" w:rightChars="-200" w:firstLine="0" w:firstLineChars="0"/>
        <w:jc w:val="center"/>
        <w:rPr>
          <w:rFonts w:eastAsia="方正小标宋_GBK"/>
          <w:b/>
          <w:bCs/>
          <w:sz w:val="44"/>
          <w:szCs w:val="44"/>
        </w:rPr>
      </w:pPr>
      <w:r>
        <w:rPr>
          <w:rFonts w:eastAsia="方正小标宋_GBK"/>
          <w:b/>
          <w:bCs/>
          <w:sz w:val="44"/>
          <w:szCs w:val="44"/>
        </w:rPr>
        <w:t>惠州市国有建设用地使用权网上挂牌</w:t>
      </w:r>
      <w:r>
        <w:rPr>
          <w:rFonts w:eastAsia="方正小标宋_GBK"/>
          <w:b/>
          <w:bCs/>
          <w:sz w:val="44"/>
          <w:szCs w:val="44"/>
        </w:rPr>
        <w:t>出让公告</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号</w:t>
      </w:r>
    </w:p>
    <w:p>
      <w:pPr>
        <w:spacing w:line="520" w:lineRule="exact"/>
        <w:ind w:left="-420" w:leftChars="-200" w:right="-420" w:rightChars="-200" w:firstLine="0" w:firstLineChars="0"/>
        <w:rPr>
          <w:rFonts w:eastAsia="仿宋_GB2312"/>
          <w:sz w:val="18"/>
          <w:szCs w:val="18"/>
        </w:rPr>
      </w:pP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sz w:val="32"/>
          <w:szCs w:val="32"/>
          <w:lang w:val="en-US" w:eastAsia="zh-CN"/>
        </w:rPr>
        <w:t>38710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万元的整数倍。</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五、该宗地竞买保证金可用人民币及外币（暂限于美元、港币）支付。</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六、申请人应具备的其他条件：</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缴交竞买保证金</w:t>
      </w:r>
      <w:r>
        <w:rPr>
          <w:rFonts w:hint="eastAsia" w:ascii="仿宋_GB2312" w:hAnsi="仿宋_GB2312" w:eastAsia="仿宋_GB2312" w:cs="仿宋_GB2312"/>
          <w:sz w:val="32"/>
          <w:szCs w:val="32"/>
          <w:lang w:val="en-US" w:eastAsia="zh-CN"/>
        </w:rPr>
        <w:t>7742</w:t>
      </w:r>
      <w:r>
        <w:rPr>
          <w:rFonts w:hint="eastAsia" w:ascii="仿宋_GB2312" w:hAnsi="仿宋_GB2312" w:eastAsia="仿宋_GB2312" w:cs="仿宋_GB2312"/>
          <w:sz w:val="32"/>
          <w:szCs w:val="32"/>
        </w:rPr>
        <w:t>万元人民币，如以外币缴交竞买保证金的，须缴交美元</w:t>
      </w:r>
      <w:r>
        <w:rPr>
          <w:rFonts w:hint="eastAsia" w:ascii="仿宋_GB2312" w:hAnsi="仿宋_GB2312" w:eastAsia="仿宋_GB2312" w:cs="仿宋_GB2312"/>
          <w:sz w:val="32"/>
          <w:szCs w:val="32"/>
          <w:lang w:val="en-US" w:eastAsia="zh-CN"/>
        </w:rPr>
        <w:t>1152</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lang w:val="en-US" w:eastAsia="zh-CN"/>
        </w:rPr>
        <w:t>8929</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（二）存在下列违法违规违约行为之一的企业及其控股股东，不得参与竞买上述地块：</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1、存在伪造公文骗取用地和非法倒卖土地等犯罪行为的；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2、存在非法转让土地使用权等违法行为的；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3、因企业原因造成土地闲置一年以上且至报名日止未处罚完结的；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4、开发建设企业有违背出让合同约定条件开发利用土地情形且至报名日止未处罚完结的；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5、至报名日止仍拖欠政府地价款的;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6、被列入问题楼盘开发企业黑名单的;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7、存在其它被禁止竞买土地行为的。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55786</w:t>
      </w:r>
      <w:r>
        <w:rPr>
          <w:rFonts w:hint="eastAsia" w:ascii="仿宋_GB2312" w:hAnsi="仿宋_GB2312" w:eastAsia="仿宋_GB2312" w:cs="仿宋_GB2312"/>
          <w:sz w:val="32"/>
          <w:szCs w:val="32"/>
        </w:rPr>
        <w:t>万元（含地价,不含地价溢价部分）。</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）该宗地紧邻市政道路，在满足道路退让要求后，不具备独立开发条件，须与JB3-10-02地块统一规划设计、统一开发建设。</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）竞得人在用地红线内开发建设必须符合城市规划要求，必须按《告知书》（案卷编号：PB2020</w:t>
      </w:r>
      <w:r>
        <w:rPr>
          <w:rFonts w:hint="eastAsia" w:ascii="仿宋_GB2312" w:hAnsi="仿宋_GB2312" w:eastAsia="仿宋_GB2312" w:cs="仿宋_GB2312"/>
          <w:sz w:val="32"/>
          <w:szCs w:val="32"/>
          <w:lang w:val="en-US" w:eastAsia="zh-CN"/>
        </w:rPr>
        <w:t>0088</w:t>
      </w:r>
      <w:r>
        <w:rPr>
          <w:rFonts w:hint="eastAsia" w:ascii="仿宋_GB2312" w:hAnsi="仿宋_GB2312" w:eastAsia="仿宋_GB2312" w:cs="仿宋_GB2312"/>
          <w:sz w:val="32"/>
          <w:szCs w:val="32"/>
        </w:rPr>
        <w:t>）规划控制指标要求及有关规定进行规划设计。</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十四、该宗地使用网上挂牌方式出让，交易全程适用《惠州市国有建设用地使用权和矿业权电子挂牌交易规则》（惠府〔2014〕167号）。</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十五、联系方式：</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惠城区三新北路31号市民服务中心3号楼一楼108室</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联系人：袁小姐、黄小姐 </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联系电话：（0752）7121026、7121042</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惠州市自然资源局</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keepNext w:val="0"/>
        <w:keepLines w:val="0"/>
        <w:pageBreakBefore w:val="0"/>
        <w:kinsoku/>
        <w:wordWrap/>
        <w:overflowPunct/>
        <w:topLinePunct w:val="0"/>
        <w:autoSpaceDE/>
        <w:autoSpaceDN/>
        <w:bidi w:val="0"/>
        <w:spacing w:line="560" w:lineRule="exact"/>
        <w:ind w:left="-420" w:leftChars="-200" w:right="-420" w:rightChars="-20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2021年2月7日</w:t>
      </w:r>
    </w:p>
    <w:p>
      <w:pPr>
        <w:spacing w:line="360" w:lineRule="auto"/>
        <w:rPr>
          <w:rFonts w:hint="eastAsia" w:ascii="黑体" w:hAnsi="黑体" w:eastAsia="黑体"/>
          <w:sz w:val="32"/>
          <w:szCs w:val="32"/>
        </w:r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6"/>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91"/>
        <w:gridCol w:w="764"/>
        <w:gridCol w:w="709"/>
        <w:gridCol w:w="859"/>
        <w:gridCol w:w="750"/>
        <w:gridCol w:w="720"/>
        <w:gridCol w:w="849"/>
        <w:gridCol w:w="1065"/>
        <w:gridCol w:w="885"/>
        <w:gridCol w:w="744"/>
        <w:gridCol w:w="741"/>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79"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791"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64"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09"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6613"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58" w:type="dxa"/>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79" w:type="dxa"/>
            <w:vMerge w:val="continue"/>
            <w:vAlign w:val="center"/>
          </w:tcPr>
          <w:p>
            <w:pPr>
              <w:adjustRightInd w:val="0"/>
              <w:snapToGrid w:val="0"/>
              <w:spacing w:line="320" w:lineRule="exact"/>
              <w:jc w:val="center"/>
              <w:rPr>
                <w:rFonts w:hint="eastAsia" w:ascii="仿宋_GB2312" w:eastAsia="仿宋_GB2312"/>
                <w:b/>
                <w:bCs/>
              </w:rPr>
            </w:pPr>
          </w:p>
        </w:tc>
        <w:tc>
          <w:tcPr>
            <w:tcW w:w="791" w:type="dxa"/>
            <w:vMerge w:val="continue"/>
            <w:vAlign w:val="center"/>
          </w:tcPr>
          <w:p>
            <w:pPr>
              <w:adjustRightInd w:val="0"/>
              <w:snapToGrid w:val="0"/>
              <w:spacing w:line="320" w:lineRule="exact"/>
              <w:jc w:val="center"/>
              <w:rPr>
                <w:rFonts w:hint="eastAsia" w:ascii="仿宋_GB2312" w:eastAsia="仿宋_GB2312"/>
                <w:b/>
                <w:bCs/>
              </w:rPr>
            </w:pPr>
          </w:p>
        </w:tc>
        <w:tc>
          <w:tcPr>
            <w:tcW w:w="764" w:type="dxa"/>
            <w:vMerge w:val="continue"/>
            <w:vAlign w:val="center"/>
          </w:tcPr>
          <w:p>
            <w:pPr>
              <w:adjustRightInd w:val="0"/>
              <w:snapToGrid w:val="0"/>
              <w:spacing w:line="320" w:lineRule="exact"/>
              <w:jc w:val="center"/>
              <w:rPr>
                <w:rFonts w:hint="eastAsia" w:ascii="仿宋_GB2312" w:eastAsia="仿宋_GB2312"/>
                <w:b/>
                <w:bCs/>
              </w:rPr>
            </w:pPr>
          </w:p>
        </w:tc>
        <w:tc>
          <w:tcPr>
            <w:tcW w:w="709" w:type="dxa"/>
            <w:vMerge w:val="continue"/>
            <w:vAlign w:val="center"/>
          </w:tcPr>
          <w:p>
            <w:pPr>
              <w:adjustRightInd w:val="0"/>
              <w:snapToGrid w:val="0"/>
              <w:spacing w:line="320" w:lineRule="exact"/>
              <w:jc w:val="center"/>
              <w:rPr>
                <w:rFonts w:hint="eastAsia" w:ascii="仿宋_GB2312" w:eastAsia="仿宋_GB2312"/>
                <w:b/>
                <w:bCs/>
              </w:rPr>
            </w:pPr>
          </w:p>
        </w:tc>
        <w:tc>
          <w:tcPr>
            <w:tcW w:w="859"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50"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宗地使用权面积（</w:t>
            </w:r>
            <w:r>
              <w:rPr>
                <w:rFonts w:hint="eastAsia" w:ascii="宋体" w:hAnsi="宋体" w:cs="宋体"/>
                <w:b/>
                <w:bCs/>
                <w:szCs w:val="21"/>
              </w:rPr>
              <w:t>㎡）</w:t>
            </w:r>
          </w:p>
        </w:tc>
        <w:tc>
          <w:tcPr>
            <w:tcW w:w="720" w:type="dxa"/>
            <w:vAlign w:val="center"/>
          </w:tcPr>
          <w:p>
            <w:pPr>
              <w:autoSpaceDE w:val="0"/>
              <w:autoSpaceDN w:val="0"/>
              <w:adjustRightInd w:val="0"/>
              <w:spacing w:line="240" w:lineRule="exact"/>
              <w:jc w:val="center"/>
              <w:rPr>
                <w:rFonts w:hint="eastAsia" w:ascii="仿宋_GB2312" w:eastAsia="仿宋_GB2312"/>
                <w:b/>
                <w:bCs/>
                <w:kern w:val="2"/>
                <w:sz w:val="21"/>
                <w:szCs w:val="21"/>
                <w:lang w:val="en-US" w:eastAsia="zh-CN" w:bidi="ar-SA"/>
              </w:rPr>
            </w:pPr>
            <w:r>
              <w:rPr>
                <w:rFonts w:hint="eastAsia" w:ascii="仿宋_GB2312" w:eastAsia="仿宋_GB2312"/>
                <w:b/>
                <w:bCs/>
                <w:szCs w:val="21"/>
              </w:rPr>
              <w:t>容积率</w:t>
            </w:r>
          </w:p>
        </w:tc>
        <w:tc>
          <w:tcPr>
            <w:tcW w:w="849" w:type="dxa"/>
            <w:vAlign w:val="center"/>
          </w:tcPr>
          <w:p>
            <w:pPr>
              <w:spacing w:line="320" w:lineRule="exact"/>
              <w:ind w:left="44" w:leftChars="0" w:right="-53" w:rightChars="-25" w:hanging="44" w:hangingChars="21"/>
              <w:jc w:val="center"/>
              <w:rPr>
                <w:rFonts w:hint="eastAsia" w:ascii="仿宋_GB2312" w:eastAsia="仿宋_GB2312"/>
                <w:b/>
                <w:bCs/>
                <w:kern w:val="2"/>
                <w:sz w:val="21"/>
                <w:szCs w:val="21"/>
                <w:lang w:val="en-US" w:eastAsia="zh-CN" w:bidi="ar-SA"/>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65"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hAnsi="仿宋_GB2312" w:eastAsia="仿宋_GB2312" w:cs="仿宋_GB2312"/>
                <w:b/>
                <w:bCs w:val="0"/>
                <w:szCs w:val="21"/>
                <w:lang w:val="en-US" w:eastAsia="zh-CN"/>
              </w:rPr>
              <w:t>建筑密度</w:t>
            </w:r>
            <w:r>
              <w:rPr>
                <w:rFonts w:hint="eastAsia" w:ascii="仿宋_GB2312" w:hAnsi="仿宋_GB2312" w:eastAsia="仿宋_GB2312" w:cs="仿宋_GB2312"/>
                <w:b/>
                <w:bCs w:val="0"/>
                <w:szCs w:val="21"/>
              </w:rPr>
              <w:t>（％）</w:t>
            </w:r>
          </w:p>
        </w:tc>
        <w:tc>
          <w:tcPr>
            <w:tcW w:w="88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机动车停车位配建标准（个）</w:t>
            </w:r>
          </w:p>
        </w:tc>
        <w:tc>
          <w:tcPr>
            <w:tcW w:w="744" w:type="dxa"/>
            <w:vAlign w:val="center"/>
          </w:tcPr>
          <w:p>
            <w:pPr>
              <w:autoSpaceDE w:val="0"/>
              <w:autoSpaceDN w:val="0"/>
              <w:adjustRightInd w:val="0"/>
              <w:spacing w:line="240" w:lineRule="exact"/>
              <w:jc w:val="center"/>
              <w:rPr>
                <w:rFonts w:hint="eastAsia" w:ascii="宋体" w:hAnsi="宋体" w:cs="宋体"/>
                <w:b/>
                <w:bCs/>
                <w:szCs w:val="21"/>
              </w:rPr>
            </w:pPr>
            <w:r>
              <w:rPr>
                <w:rFonts w:hint="eastAsia" w:ascii="仿宋_GB2312" w:hAnsi="Times New Roman" w:eastAsia="仿宋_GB2312" w:cs="Times New Roman"/>
                <w:b/>
                <w:bCs/>
                <w:szCs w:val="21"/>
              </w:rPr>
              <w:t>绿地率（％）</w:t>
            </w:r>
          </w:p>
        </w:tc>
        <w:tc>
          <w:tcPr>
            <w:tcW w:w="741"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658"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79" w:type="dxa"/>
            <w:tcMar>
              <w:left w:w="0" w:type="dxa"/>
              <w:right w:w="0" w:type="dxa"/>
            </w:tcMar>
            <w:vAlign w:val="center"/>
          </w:tcPr>
          <w:p>
            <w:pPr>
              <w:adjustRightInd w:val="0"/>
              <w:snapToGrid w:val="0"/>
              <w:spacing w:line="300" w:lineRule="exact"/>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GP2021</w:t>
            </w:r>
          </w:p>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w:t>
            </w:r>
            <w:r>
              <w:rPr>
                <w:rFonts w:hint="eastAsia" w:eastAsia="仿宋_GB2312" w:cs="Times New Roman"/>
                <w:color w:val="000000"/>
                <w:sz w:val="21"/>
                <w:szCs w:val="21"/>
                <w:lang w:val="en-US" w:eastAsia="zh-CN"/>
              </w:rPr>
              <w:t>7</w:t>
            </w:r>
          </w:p>
        </w:tc>
        <w:tc>
          <w:tcPr>
            <w:tcW w:w="791" w:type="dxa"/>
            <w:vAlign w:val="center"/>
          </w:tcPr>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惠州市惠城</w:t>
            </w:r>
            <w:r>
              <w:rPr>
                <w:rFonts w:hint="eastAsia" w:eastAsia="仿宋_GB2312" w:cs="Times New Roman"/>
                <w:color w:val="000000"/>
                <w:sz w:val="21"/>
                <w:szCs w:val="21"/>
                <w:lang w:val="en-US" w:eastAsia="zh-CN"/>
              </w:rPr>
              <w:t>区</w:t>
            </w:r>
            <w:r>
              <w:rPr>
                <w:rFonts w:hint="eastAsia" w:ascii="Times New Roman" w:hAnsi="Times New Roman" w:eastAsia="仿宋_GB2312" w:cs="Times New Roman"/>
                <w:color w:val="000000"/>
                <w:sz w:val="21"/>
                <w:szCs w:val="21"/>
              </w:rPr>
              <w:t>江北</w:t>
            </w:r>
            <w:r>
              <w:rPr>
                <w:rFonts w:hint="eastAsia" w:ascii="仿宋_GB2312" w:hAnsi="仿宋_GB2312" w:eastAsia="仿宋_GB2312" w:cs="仿宋_GB2312"/>
                <w:color w:val="000000"/>
                <w:sz w:val="21"/>
                <w:szCs w:val="21"/>
              </w:rPr>
              <w:t>JB3-10-01</w:t>
            </w:r>
            <w:r>
              <w:rPr>
                <w:rFonts w:hint="eastAsia" w:ascii="Times New Roman" w:hAnsi="Times New Roman" w:eastAsia="仿宋_GB2312" w:cs="Times New Roman"/>
                <w:color w:val="000000"/>
                <w:sz w:val="21"/>
                <w:szCs w:val="21"/>
                <w:lang w:val="en-US" w:eastAsia="zh-CN"/>
              </w:rPr>
              <w:t>地块</w:t>
            </w:r>
          </w:p>
        </w:tc>
        <w:tc>
          <w:tcPr>
            <w:tcW w:w="764"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JB3-10-01</w:t>
            </w:r>
          </w:p>
        </w:tc>
        <w:tc>
          <w:tcPr>
            <w:tcW w:w="709" w:type="dxa"/>
            <w:tcMar>
              <w:left w:w="0" w:type="dxa"/>
              <w:right w:w="0" w:type="dxa"/>
            </w:tcMar>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城镇住宅及</w:t>
            </w:r>
            <w:r>
              <w:rPr>
                <w:rFonts w:hint="eastAsia" w:ascii="Times New Roman" w:hAnsi="Times New Roman" w:eastAsia="仿宋_GB2312" w:cs="Times New Roman"/>
                <w:color w:val="000000"/>
                <w:sz w:val="21"/>
                <w:szCs w:val="21"/>
              </w:rPr>
              <w:t>商</w:t>
            </w:r>
            <w:r>
              <w:rPr>
                <w:rFonts w:hint="eastAsia" w:ascii="Times New Roman" w:hAnsi="Times New Roman" w:eastAsia="仿宋_GB2312" w:cs="Times New Roman"/>
                <w:color w:val="000000"/>
                <w:sz w:val="21"/>
                <w:szCs w:val="21"/>
                <w:lang w:val="en-US" w:eastAsia="zh-CN"/>
              </w:rPr>
              <w:t>服</w:t>
            </w:r>
            <w:r>
              <w:rPr>
                <w:rFonts w:hint="eastAsia" w:ascii="Times New Roman" w:hAnsi="Times New Roman" w:eastAsia="仿宋_GB2312" w:cs="Times New Roman"/>
                <w:color w:val="000000"/>
                <w:sz w:val="21"/>
                <w:szCs w:val="21"/>
              </w:rPr>
              <w:t>用地</w:t>
            </w:r>
          </w:p>
        </w:tc>
        <w:tc>
          <w:tcPr>
            <w:tcW w:w="859" w:type="dxa"/>
            <w:vAlign w:val="center"/>
          </w:tcPr>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14595.12</w:t>
            </w:r>
          </w:p>
        </w:tc>
        <w:tc>
          <w:tcPr>
            <w:tcW w:w="750" w:type="dxa"/>
            <w:vAlign w:val="center"/>
          </w:tcPr>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5020.31</w:t>
            </w:r>
          </w:p>
        </w:tc>
        <w:tc>
          <w:tcPr>
            <w:tcW w:w="720" w:type="dxa"/>
            <w:vAlign w:val="center"/>
          </w:tcPr>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rPr>
              <w:t>≤</w:t>
            </w:r>
            <w:r>
              <w:rPr>
                <w:rFonts w:hint="eastAsia" w:ascii="Times New Roman" w:hAnsi="Times New Roman" w:eastAsia="仿宋_GB2312" w:cs="Times New Roman"/>
                <w:color w:val="000000"/>
                <w:sz w:val="21"/>
                <w:szCs w:val="21"/>
                <w:lang w:val="en-US" w:eastAsia="zh-CN"/>
              </w:rPr>
              <w:t>3.9</w:t>
            </w:r>
          </w:p>
        </w:tc>
        <w:tc>
          <w:tcPr>
            <w:tcW w:w="849"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 xml:space="preserve">≤56920 </w:t>
            </w:r>
          </w:p>
          <w:p>
            <w:pPr>
              <w:adjustRightInd w:val="0"/>
              <w:snapToGrid w:val="0"/>
              <w:spacing w:line="300" w:lineRule="exact"/>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rPr>
              <w:t>(其中：商业建筑面积≤16838 ，配套设施建筑面积≥399 )</w:t>
            </w:r>
          </w:p>
        </w:tc>
        <w:tc>
          <w:tcPr>
            <w:tcW w:w="1065"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≤28（</w:t>
            </w:r>
            <w:r>
              <w:rPr>
                <w:rFonts w:hint="eastAsia" w:eastAsia="仿宋_GB2312" w:cs="Times New Roman"/>
                <w:color w:val="000000"/>
                <w:sz w:val="21"/>
                <w:szCs w:val="21"/>
                <w:lang w:val="en-US" w:eastAsia="zh-CN"/>
              </w:rPr>
              <w:t>其中：</w:t>
            </w:r>
            <w:r>
              <w:rPr>
                <w:rFonts w:hint="eastAsia" w:ascii="Times New Roman" w:hAnsi="Times New Roman" w:eastAsia="仿宋_GB2312" w:cs="Times New Roman"/>
                <w:color w:val="000000"/>
                <w:sz w:val="21"/>
                <w:szCs w:val="21"/>
              </w:rPr>
              <w:t>住宅建筑密度≤22）</w:t>
            </w:r>
          </w:p>
        </w:tc>
        <w:tc>
          <w:tcPr>
            <w:tcW w:w="885"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每100 ㎡计容积率建筑面积≥1个</w:t>
            </w:r>
          </w:p>
        </w:tc>
        <w:tc>
          <w:tcPr>
            <w:tcW w:w="744"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rPr>
              <w:t>≥30</w:t>
            </w:r>
          </w:p>
        </w:tc>
        <w:tc>
          <w:tcPr>
            <w:tcW w:w="741"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住宅和商业及配套设施</w:t>
            </w:r>
          </w:p>
        </w:tc>
        <w:tc>
          <w:tcPr>
            <w:tcW w:w="658" w:type="dxa"/>
            <w:vAlign w:val="center"/>
          </w:tcPr>
          <w:p>
            <w:pPr>
              <w:adjustRightInd w:val="0"/>
              <w:snapToGrid w:val="0"/>
              <w:spacing w:line="300" w:lineRule="exact"/>
              <w:jc w:val="center"/>
              <w:rPr>
                <w:rFonts w:hint="eastAsia" w:ascii="Times New Roman" w:hAnsi="Times New Roman" w:eastAsia="仿宋_GB2312" w:cs="Times New Roman"/>
                <w:color w:val="000000"/>
                <w:sz w:val="21"/>
                <w:szCs w:val="21"/>
              </w:rPr>
            </w:pPr>
            <w:r>
              <w:rPr>
                <w:rFonts w:hint="eastAsia" w:ascii="Times New Roman" w:hAnsi="Times New Roman" w:eastAsia="仿宋_GB2312" w:cs="Times New Roman"/>
                <w:color w:val="000000"/>
                <w:sz w:val="21"/>
                <w:szCs w:val="21"/>
                <w:lang w:val="en-US" w:eastAsia="zh-CN"/>
              </w:rPr>
              <w:t>城镇住宅用地70年</w:t>
            </w:r>
            <w:r>
              <w:rPr>
                <w:rFonts w:hint="eastAsia" w:ascii="Times New Roman" w:hAnsi="Times New Roman" w:eastAsia="仿宋_GB2312" w:cs="Times New Roman"/>
                <w:color w:val="000000"/>
                <w:sz w:val="21"/>
                <w:szCs w:val="21"/>
              </w:rPr>
              <w:t>、商服用地40年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2EAB"/>
    <w:rsid w:val="01765951"/>
    <w:rsid w:val="08D321CF"/>
    <w:rsid w:val="136E38F4"/>
    <w:rsid w:val="18D966F7"/>
    <w:rsid w:val="1F7D2A5B"/>
    <w:rsid w:val="204F5418"/>
    <w:rsid w:val="21B45996"/>
    <w:rsid w:val="38403697"/>
    <w:rsid w:val="3F0E0DA5"/>
    <w:rsid w:val="412437FC"/>
    <w:rsid w:val="43C1023E"/>
    <w:rsid w:val="508E211A"/>
    <w:rsid w:val="56564364"/>
    <w:rsid w:val="56D76AD7"/>
    <w:rsid w:val="63C4043A"/>
    <w:rsid w:val="6E7D7B7A"/>
    <w:rsid w:val="71A9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uiPriority w:val="0"/>
    <w:rPr>
      <w:rFonts w:ascii="宋体" w:hAnsi="Courier New"/>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37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2021-02-05T02:23:00Z</dcterms:created>
  <dc:creator>黄春枚</dc:creator>
  <cp:lastModifiedBy>袁秀玲</cp:lastModifiedBy>
  <dcterms:modified xsi:type="dcterms:W3CDTF">2021-02-07T02:37:09Z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