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043</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sz w:val="32"/>
          <w:szCs w:val="32"/>
          <w:lang w:val="en-US" w:eastAsia="zh-CN"/>
        </w:rPr>
        <w:t>8960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adjustRightInd w:val="0"/>
        <w:snapToGrid w:val="0"/>
        <w:spacing w:before="0" w:line="560" w:lineRule="exact"/>
        <w:jc w:val="both"/>
        <w:textAlignment w:val="auto"/>
        <w:outlineLvl w:val="9"/>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outlineLvl w:val="9"/>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五、该宗地竞买保证金可用人民币支付。</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rPr>
        <w:t>六、申请人应具备的其他条件：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2688</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（二）竞得人在用地红线内开发建设必须符合城市规划要求，必须按</w:t>
      </w:r>
      <w:r>
        <w:rPr>
          <w:rFonts w:hint="eastAsia" w:hAnsi="仿宋_GB2312" w:cs="仿宋_GB2312"/>
          <w:szCs w:val="32"/>
          <w:lang w:eastAsia="zh-CN"/>
        </w:rPr>
        <w:t>上述建设方案的要求</w:t>
      </w:r>
      <w:r>
        <w:rPr>
          <w:rFonts w:hint="eastAsia" w:hAnsi="仿宋_GB2312" w:cs="仿宋_GB2312"/>
          <w:szCs w:val="32"/>
        </w:rPr>
        <w:t>进行规划设计。</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拖欠政府地价款的单位不得参与竞买上述地块。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、竞得人签订《成交确认书》后，缴交的保证金中按成交价的</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%转作定金，竞得人签订《出让合同》后，定金转作土地出让价款。</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保证金少于成交价20%的，不足部分由竞得人在签订《成交确认书》之日起5个工作日内付清。</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108000</w:t>
      </w:r>
      <w:r>
        <w:rPr>
          <w:rFonts w:hint="eastAsia" w:ascii="仿宋_GB2312" w:hAnsi="仿宋_GB2312" w:eastAsia="仿宋_GB2312" w:cs="仿宋_GB2312"/>
          <w:sz w:val="32"/>
          <w:szCs w:val="32"/>
        </w:rPr>
        <w:t>万元（含地价）。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报总平面图的主要技术经济指标：规划布局6栋厂房、1栋办公楼、3栋宿舍楼，计算指标用地面积99148平方米，建筑层数地上最高9层（建筑高度为49米，使用功能为办公楼），计容积率总建筑面积258292.69平方米（其中行政办公及生活服务设施建筑面积51658.54平方米，占比20%），容积率2.61 ，建筑密度40.99%（其中行政办公设施基底面积6940.36平方米，占用地面积比7％），绿地率10.01%，停车位818个（其中地上818个、地下0个），各项指标满足《建设用地规划设计条件》（HCPB20200011)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所报方案符合《建设用地规划设计条件》（案卷编号：HCPB20200011号）相关技术经济指标要求，同意所报总平面图和单体建筑设计方案，须按程序进行公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2、建设项目平面布置图详见附件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招商条件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项目总投资规模不低于</w:t>
      </w:r>
      <w:r>
        <w:rPr>
          <w:rFonts w:hint="eastAsia" w:ascii="仿宋_GB2312" w:hAnsi="仿宋_GB2312" w:eastAsia="仿宋_GB2312" w:cs="仿宋_GB2312"/>
          <w:sz w:val="32"/>
          <w:szCs w:val="32"/>
          <w:lang w:val="en-US" w:eastAsia="zh-CN"/>
        </w:rPr>
        <w:t>10.8亿</w:t>
      </w:r>
      <w:r>
        <w:rPr>
          <w:rFonts w:hint="eastAsia" w:ascii="仿宋_GB2312" w:hAnsi="仿宋_GB2312" w:eastAsia="仿宋_GB2312" w:cs="仿宋_GB2312"/>
          <w:sz w:val="32"/>
          <w:szCs w:val="32"/>
        </w:rPr>
        <w:t>元,投资强度不低于</w:t>
      </w:r>
      <w:r>
        <w:rPr>
          <w:rFonts w:hint="eastAsia" w:ascii="仿宋_GB2312" w:hAnsi="仿宋_GB2312" w:eastAsia="仿宋_GB2312" w:cs="仿宋_GB2312"/>
          <w:sz w:val="32"/>
          <w:szCs w:val="32"/>
          <w:lang w:val="en-US" w:eastAsia="zh-CN"/>
        </w:rPr>
        <w:t>10800</w:t>
      </w:r>
      <w:r>
        <w:rPr>
          <w:rFonts w:hint="eastAsia" w:ascii="仿宋_GB2312" w:hAnsi="仿宋_GB2312" w:eastAsia="仿宋_GB2312" w:cs="仿宋_GB2312"/>
          <w:sz w:val="32"/>
          <w:szCs w:val="32"/>
        </w:rPr>
        <w:t>元/平方米，土地产出率（营业收入）不低于</w:t>
      </w:r>
      <w:r>
        <w:rPr>
          <w:rFonts w:hint="eastAsia" w:ascii="仿宋_GB2312" w:hAnsi="仿宋_GB2312" w:eastAsia="仿宋_GB2312" w:cs="仿宋_GB2312"/>
          <w:sz w:val="32"/>
          <w:szCs w:val="32"/>
          <w:lang w:val="en-US" w:eastAsia="zh-CN"/>
        </w:rPr>
        <w:t>19200</w:t>
      </w:r>
      <w:r>
        <w:rPr>
          <w:rFonts w:hint="eastAsia" w:ascii="仿宋_GB2312" w:hAnsi="仿宋_GB2312" w:eastAsia="仿宋_GB2312" w:cs="仿宋_GB2312"/>
          <w:sz w:val="32"/>
          <w:szCs w:val="32"/>
        </w:rPr>
        <w:t>元/平方米/年，税收产出不低于</w:t>
      </w:r>
      <w:r>
        <w:rPr>
          <w:rFonts w:hint="eastAsia" w:ascii="仿宋_GB2312" w:hAnsi="仿宋_GB2312" w:eastAsia="仿宋_GB2312" w:cs="仿宋_GB2312"/>
          <w:sz w:val="32"/>
          <w:szCs w:val="32"/>
          <w:lang w:val="en-US" w:eastAsia="zh-CN"/>
        </w:rPr>
        <w:t>1193</w:t>
      </w:r>
      <w:r>
        <w:rPr>
          <w:rFonts w:hint="eastAsia" w:ascii="仿宋_GB2312" w:hAnsi="仿宋_GB2312" w:eastAsia="仿宋_GB2312" w:cs="仿宋_GB2312"/>
          <w:sz w:val="32"/>
          <w:szCs w:val="32"/>
        </w:rPr>
        <w:t>元/平方米/年。其中，土地产出率及税收产出，在项目投产后3年内逐年考核，3年内的平均值不得低于上述标准。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在签订《国有建设用地交地确认书》5年内不得转让土地使用权（包含但不限于公司股权转让），非因企业破产不得终止项目建设及运营。若因企业经营不善等原因，乙方确定</w:t>
      </w:r>
      <w:r>
        <w:rPr>
          <w:rFonts w:hint="eastAsia" w:ascii="仿宋_GB2312" w:hAnsi="仿宋_GB2312" w:eastAsia="仿宋_GB2312" w:cs="仿宋_GB2312"/>
          <w:sz w:val="32"/>
          <w:szCs w:val="32"/>
        </w:rPr>
        <w:t>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）竞得人在签订《成交确认书》前，须与惠城区高新科技产业园管委会签订《惠城区工业项目土地建设和使用监管协议书》，并由惠城区高新科技产业园管委会对项目用地实施批后监管。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）竞得人有下列行为之一的，视为违约，取消竞得人资格，没收保证金,并由有关部门依法处理;造成损失的，竞得人还应依法承担赔偿责任：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、该宗地使用网上挂牌方式出让，交易全程适用《惠州市国有建设用地使用权和矿业权电子挂牌交易规则》（惠府〔</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167号）。</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地址：惠州市</w:t>
      </w:r>
      <w:r>
        <w:rPr>
          <w:rFonts w:hint="eastAsia" w:ascii="仿宋_GB2312" w:hAnsi="仿宋_GB2312" w:eastAsia="仿宋_GB2312" w:cs="仿宋_GB2312"/>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陈镇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惠州市公共资源交易中心土地矿业交易部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联系地址：广东省惠州市江北文华一路2号大隆大厦6楼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惠州日报。</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4480" w:firstLineChars="14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520" w:lineRule="exact"/>
        <w:ind w:right="640"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2020年11月5日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50"/>
        <w:gridCol w:w="750"/>
        <w:gridCol w:w="675"/>
        <w:gridCol w:w="774"/>
        <w:gridCol w:w="786"/>
        <w:gridCol w:w="435"/>
        <w:gridCol w:w="660"/>
        <w:gridCol w:w="1605"/>
        <w:gridCol w:w="1545"/>
        <w:gridCol w:w="946"/>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45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5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67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450" w:type="dxa"/>
            <w:vMerge w:val="continue"/>
            <w:vAlign w:val="center"/>
          </w:tcPr>
          <w:p>
            <w:pPr>
              <w:adjustRightInd w:val="0"/>
              <w:snapToGrid w:val="0"/>
              <w:spacing w:line="320" w:lineRule="exact"/>
              <w:jc w:val="center"/>
              <w:rPr>
                <w:rFonts w:hint="eastAsia" w:ascii="仿宋_GB2312" w:eastAsia="仿宋_GB2312"/>
                <w:b/>
                <w:bCs/>
              </w:rPr>
            </w:pPr>
          </w:p>
        </w:tc>
        <w:tc>
          <w:tcPr>
            <w:tcW w:w="750" w:type="dxa"/>
            <w:vMerge w:val="continue"/>
            <w:vAlign w:val="center"/>
          </w:tcPr>
          <w:p>
            <w:pPr>
              <w:adjustRightInd w:val="0"/>
              <w:snapToGrid w:val="0"/>
              <w:spacing w:line="320" w:lineRule="exact"/>
              <w:jc w:val="center"/>
              <w:rPr>
                <w:rFonts w:hint="eastAsia" w:ascii="仿宋_GB2312" w:eastAsia="仿宋_GB2312"/>
                <w:b/>
                <w:bCs/>
              </w:rPr>
            </w:pPr>
          </w:p>
        </w:tc>
        <w:tc>
          <w:tcPr>
            <w:tcW w:w="675"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786"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435"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60"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05"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545"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46"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ascii="宋体" w:hAnsi="宋体" w:cs="宋体"/>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szCs w:val="21"/>
              </w:rPr>
              <w:t>产业类</w:t>
            </w:r>
            <w:r>
              <w:rPr>
                <w:rFonts w:hint="eastAsia" w:ascii="仿宋_GB2312" w:eastAsia="仿宋_GB2312"/>
                <w:b/>
                <w:bCs/>
                <w:szCs w:val="21"/>
                <w:lang w:val="en-US" w:eastAsia="zh-CN"/>
              </w:rPr>
              <w:t>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bookmarkStart w:id="0" w:name="_GoBack"/>
            <w:r>
              <w:rPr>
                <w:rFonts w:hint="eastAsia" w:ascii="仿宋_GB2312" w:hAnsi="Times New Roman" w:eastAsia="仿宋_GB2312"/>
                <w:szCs w:val="21"/>
                <w:lang w:val="en-US" w:eastAsia="zh-CN"/>
              </w:rPr>
              <w:t>GP2020-43</w:t>
            </w:r>
            <w:bookmarkEnd w:id="0"/>
          </w:p>
        </w:tc>
        <w:tc>
          <w:tcPr>
            <w:tcW w:w="450" w:type="dxa"/>
            <w:vAlign w:val="center"/>
          </w:tcPr>
          <w:p>
            <w:pPr>
              <w:jc w:val="center"/>
              <w:rPr>
                <w:rFonts w:hint="eastAsia" w:ascii="仿宋_GB2312" w:hAnsi="Times New Roman" w:eastAsia="仿宋_GB2312"/>
                <w:szCs w:val="21"/>
                <w:lang w:eastAsia="zh-CN"/>
              </w:rPr>
            </w:pPr>
            <w:r>
              <w:rPr>
                <w:rFonts w:hint="eastAsia" w:ascii="仿宋_GB2312" w:hAnsi="Times New Roman" w:eastAsia="仿宋_GB2312" w:cs="Times New Roman"/>
                <w:szCs w:val="21"/>
                <w:lang w:val="en-US" w:eastAsia="zh-CN"/>
              </w:rPr>
              <w:t>惠州市惠城区南部新城</w:t>
            </w:r>
          </w:p>
        </w:tc>
        <w:tc>
          <w:tcPr>
            <w:tcW w:w="75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NBXC23-01-01</w:t>
            </w:r>
          </w:p>
        </w:tc>
        <w:tc>
          <w:tcPr>
            <w:tcW w:w="675" w:type="dxa"/>
            <w:tcMar>
              <w:left w:w="0" w:type="dxa"/>
              <w:right w:w="0" w:type="dxa"/>
            </w:tcMar>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二类工业用地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81038.39</w:t>
            </w:r>
          </w:p>
        </w:tc>
        <w:tc>
          <w:tcPr>
            <w:tcW w:w="786"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99148</w:t>
            </w:r>
          </w:p>
        </w:tc>
        <w:tc>
          <w:tcPr>
            <w:tcW w:w="43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6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1.6-3.0</w:t>
            </w:r>
          </w:p>
        </w:tc>
        <w:tc>
          <w:tcPr>
            <w:tcW w:w="160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158637-297444</w:t>
            </w:r>
          </w:p>
        </w:tc>
        <w:tc>
          <w:tcPr>
            <w:tcW w:w="154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每100平方米计容积率面积≥1个</w:t>
            </w:r>
          </w:p>
        </w:tc>
        <w:tc>
          <w:tcPr>
            <w:tcW w:w="946"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≤20</w:t>
            </w:r>
          </w:p>
        </w:tc>
        <w:tc>
          <w:tcPr>
            <w:tcW w:w="979"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电气机械及器材制造业用地</w:t>
            </w:r>
          </w:p>
        </w:tc>
        <w:tc>
          <w:tcPr>
            <w:tcW w:w="67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50年</w:t>
            </w:r>
          </w:p>
          <w:p>
            <w:pPr>
              <w:jc w:val="center"/>
              <w:rPr>
                <w:rFonts w:hint="eastAsia" w:ascii="仿宋_GB2312" w:hAnsi="Times New Roman" w:eastAsia="仿宋_GB2312" w:cs="Times New Roman"/>
                <w:szCs w:val="21"/>
                <w:lang w:val="en-US"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A5410"/>
    <w:rsid w:val="04FC0EF8"/>
    <w:rsid w:val="05D21A3F"/>
    <w:rsid w:val="082B1937"/>
    <w:rsid w:val="0E7A65F6"/>
    <w:rsid w:val="10BD4DFA"/>
    <w:rsid w:val="156315F6"/>
    <w:rsid w:val="167673A1"/>
    <w:rsid w:val="17AA0480"/>
    <w:rsid w:val="188D227F"/>
    <w:rsid w:val="1A0B2C56"/>
    <w:rsid w:val="1E862B6D"/>
    <w:rsid w:val="20A8157A"/>
    <w:rsid w:val="20ED2229"/>
    <w:rsid w:val="21130AD2"/>
    <w:rsid w:val="22890C8D"/>
    <w:rsid w:val="28774868"/>
    <w:rsid w:val="2F46128A"/>
    <w:rsid w:val="2F6E2CBB"/>
    <w:rsid w:val="304C7078"/>
    <w:rsid w:val="323C4153"/>
    <w:rsid w:val="35335FA2"/>
    <w:rsid w:val="36061489"/>
    <w:rsid w:val="37574BAC"/>
    <w:rsid w:val="38BD14D1"/>
    <w:rsid w:val="38F10EA7"/>
    <w:rsid w:val="3F661643"/>
    <w:rsid w:val="40231E47"/>
    <w:rsid w:val="40363F40"/>
    <w:rsid w:val="427C70AD"/>
    <w:rsid w:val="43706132"/>
    <w:rsid w:val="57C844D5"/>
    <w:rsid w:val="5AF873B7"/>
    <w:rsid w:val="692A6240"/>
    <w:rsid w:val="6CFF3276"/>
    <w:rsid w:val="6EB83079"/>
    <w:rsid w:val="6F4B3B48"/>
    <w:rsid w:val="6FAF64D5"/>
    <w:rsid w:val="761352C3"/>
    <w:rsid w:val="794A030F"/>
    <w:rsid w:val="7CDF5272"/>
    <w:rsid w:val="7D060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黄春枚</cp:lastModifiedBy>
  <cp:lastPrinted>2020-11-06T00:33:00Z</cp:lastPrinted>
  <dcterms:modified xsi:type="dcterms:W3CDTF">2020-11-06T00:59:12Z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