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029</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w:t>
      </w:r>
      <w:r>
        <w:rPr>
          <w:rFonts w:hint="eastAsia" w:ascii="仿宋_GB2312" w:hAnsi="仿宋_GB2312" w:eastAsia="仿宋_GB2312" w:cs="仿宋_GB2312"/>
          <w:sz w:val="32"/>
          <w:szCs w:val="32"/>
          <w:lang w:eastAsia="zh-CN"/>
        </w:rPr>
        <w:t>及地上物业资产</w:t>
      </w:r>
      <w:r>
        <w:rPr>
          <w:rFonts w:hint="eastAsia" w:ascii="仿宋_GB2312" w:hAnsi="仿宋_GB2312" w:eastAsia="仿宋_GB2312" w:cs="仿宋_GB2312"/>
          <w:sz w:val="32"/>
          <w:szCs w:val="32"/>
        </w:rPr>
        <w:t>，本次国有建设用地使用权</w:t>
      </w:r>
      <w:r>
        <w:rPr>
          <w:rFonts w:hint="eastAsia" w:ascii="仿宋_GB2312" w:hAnsi="仿宋_GB2312" w:eastAsia="仿宋_GB2312" w:cs="仿宋_GB2312"/>
          <w:sz w:val="32"/>
          <w:szCs w:val="32"/>
          <w:lang w:eastAsia="zh-CN"/>
        </w:rPr>
        <w:t>及地上物业资产</w:t>
      </w:r>
      <w:r>
        <w:rPr>
          <w:rFonts w:hint="eastAsia" w:ascii="仿宋_GB2312" w:hAnsi="仿宋_GB2312" w:eastAsia="仿宋_GB2312" w:cs="仿宋_GB2312"/>
          <w:sz w:val="32"/>
          <w:szCs w:val="32"/>
        </w:rPr>
        <w:t>网上挂牌出让交易具体事务委托惠州市公共资源交易中心办理。现将有关事项公告如下：</w:t>
      </w:r>
    </w:p>
    <w:p>
      <w:pPr>
        <w:keepNext w:val="0"/>
        <w:keepLines w:val="0"/>
        <w:pageBreakBefore w:val="0"/>
        <w:widowControl w:val="0"/>
        <w:numPr>
          <w:ilvl w:val="0"/>
          <w:numId w:val="0"/>
        </w:numPr>
        <w:tabs>
          <w:tab w:val="left" w:pos="3917"/>
        </w:tab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bCs/>
          <w:sz w:val="32"/>
          <w:szCs w:val="32"/>
          <w:lang w:eastAsia="zh-CN"/>
        </w:rPr>
      </w:pPr>
      <w:r>
        <w:rPr>
          <w:rFonts w:hint="eastAsia" w:ascii="仿宋_GB2312" w:hAnsi="仿宋_GB2312" w:eastAsia="仿宋_GB2312" w:cs="仿宋_GB2312"/>
          <w:sz w:val="32"/>
          <w:szCs w:val="32"/>
        </w:rPr>
        <w:t>一、</w:t>
      </w:r>
      <w:r>
        <w:rPr>
          <w:rFonts w:hint="eastAsia" w:ascii="仿宋_GB2312" w:hAnsi="仿宋" w:eastAsia="仿宋_GB2312"/>
          <w:kern w:val="2"/>
          <w:sz w:val="32"/>
          <w:szCs w:val="32"/>
        </w:rPr>
        <w:t>本次拟挂牌出让</w:t>
      </w:r>
      <w:r>
        <w:rPr>
          <w:rFonts w:hint="eastAsia" w:ascii="仿宋_GB2312" w:hAnsi="仿宋" w:eastAsia="仿宋_GB2312"/>
          <w:kern w:val="2"/>
          <w:sz w:val="32"/>
          <w:szCs w:val="32"/>
          <w:lang w:eastAsia="zh-CN"/>
        </w:rPr>
        <w:t>江北西区</w:t>
      </w:r>
      <w:r>
        <w:rPr>
          <w:rFonts w:hint="eastAsia" w:ascii="仿宋_GB2312" w:hAnsi="仿宋" w:eastAsia="仿宋_GB2312"/>
          <w:kern w:val="2"/>
          <w:sz w:val="32"/>
          <w:szCs w:val="32"/>
        </w:rPr>
        <w:t>一宗国有建设用地，地块编号为：</w:t>
      </w:r>
      <w:r>
        <w:rPr>
          <w:rFonts w:hint="eastAsia" w:ascii="仿宋_GB2312" w:hAnsi="仿宋" w:eastAsia="仿宋_GB2312"/>
          <w:kern w:val="2"/>
          <w:sz w:val="32"/>
          <w:szCs w:val="32"/>
          <w:lang w:val="en-US" w:eastAsia="zh-CN"/>
        </w:rPr>
        <w:t>A02-16-2（原编号JBXQ8-1-1）地块。该地块</w:t>
      </w:r>
      <w:r>
        <w:rPr>
          <w:rFonts w:hint="eastAsia" w:ascii="仿宋_GB2312" w:hAnsi="仿宋" w:eastAsia="仿宋_GB2312"/>
          <w:kern w:val="2"/>
          <w:sz w:val="32"/>
          <w:szCs w:val="32"/>
          <w:lang w:eastAsia="zh-CN"/>
        </w:rPr>
        <w:t>为惠州报业传媒集团所在地，现状规划用地性质为文化设施用地、地上物业为惠州报业传媒集团（惠州日报社）所属报业大厦</w:t>
      </w:r>
      <w:r>
        <w:rPr>
          <w:rFonts w:hint="eastAsia" w:ascii="仿宋_GB2312" w:hAnsi="仿宋" w:eastAsia="仿宋_GB2312"/>
          <w:kern w:val="2"/>
          <w:sz w:val="32"/>
          <w:szCs w:val="32"/>
          <w:lang w:val="en-US" w:eastAsia="zh-CN"/>
        </w:rPr>
        <w:t>。根据惠州市人民政府办公室签报《关于加快推进惠州报业传媒集团资产盘活的签报》，现将该地块规划用地性质转为商务设施用地，并将国有土地使用权及地上物业资产整体挂牌出让。</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kern w:val="2"/>
          <w:sz w:val="32"/>
          <w:szCs w:val="32"/>
        </w:rPr>
      </w:pPr>
      <w:r>
        <w:rPr>
          <w:rFonts w:hint="eastAsia" w:ascii="仿宋_GB2312" w:hAnsi="仿宋" w:eastAsia="仿宋_GB2312"/>
          <w:kern w:val="2"/>
          <w:sz w:val="32"/>
          <w:szCs w:val="32"/>
        </w:rPr>
        <w:t>（一）地块位置：</w:t>
      </w:r>
      <w:r>
        <w:rPr>
          <w:rFonts w:hint="eastAsia" w:ascii="仿宋_GB2312" w:hAnsi="仿宋" w:eastAsia="仿宋_GB2312"/>
          <w:kern w:val="2"/>
          <w:sz w:val="32"/>
          <w:szCs w:val="32"/>
          <w:lang w:eastAsia="zh-CN"/>
        </w:rPr>
        <w:t>江北西区</w:t>
      </w:r>
      <w:r>
        <w:rPr>
          <w:rFonts w:hint="eastAsia" w:ascii="仿宋_GB2312" w:hAnsi="仿宋" w:eastAsia="仿宋_GB2312"/>
          <w:kern w:val="2"/>
          <w:sz w:val="32"/>
          <w:szCs w:val="32"/>
          <w:lang w:val="en-US" w:eastAsia="zh-CN"/>
        </w:rPr>
        <w:t>A02-16-2（原编号JBXQ8-1-1）地块</w:t>
      </w:r>
      <w:r>
        <w:rPr>
          <w:rFonts w:hint="eastAsia" w:ascii="仿宋_GB2312" w:hAnsi="仿宋" w:eastAsia="仿宋_GB2312"/>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kern w:val="2"/>
          <w:sz w:val="32"/>
          <w:szCs w:val="32"/>
        </w:rPr>
      </w:pPr>
      <w:r>
        <w:rPr>
          <w:rFonts w:hint="eastAsia" w:ascii="仿宋_GB2312" w:hAnsi="仿宋" w:eastAsia="仿宋_GB2312"/>
          <w:kern w:val="2"/>
          <w:sz w:val="32"/>
          <w:szCs w:val="32"/>
        </w:rPr>
        <w:t>（二）地块范围：平面界址点以宗地图为准，宗地竖向界限以</w:t>
      </w:r>
      <w:r>
        <w:rPr>
          <w:rFonts w:hint="eastAsia" w:ascii="仿宋_GB2312" w:hAnsi="仿宋" w:eastAsia="仿宋_GB2312"/>
          <w:kern w:val="2"/>
          <w:sz w:val="32"/>
          <w:szCs w:val="32"/>
          <w:lang w:eastAsia="zh-CN"/>
        </w:rPr>
        <w:t>原</w:t>
      </w:r>
      <w:r>
        <w:rPr>
          <w:rFonts w:hint="eastAsia" w:ascii="仿宋_GB2312" w:hAnsi="仿宋" w:eastAsia="仿宋_GB2312"/>
          <w:kern w:val="2"/>
          <w:sz w:val="32"/>
          <w:szCs w:val="32"/>
        </w:rPr>
        <w:t>《规划设计条件告知书（案卷编号：PB</w:t>
      </w:r>
      <w:r>
        <w:rPr>
          <w:rFonts w:hint="eastAsia" w:ascii="仿宋_GB2312" w:hAnsi="仿宋" w:eastAsia="仿宋_GB2312"/>
          <w:kern w:val="2"/>
          <w:sz w:val="32"/>
          <w:szCs w:val="32"/>
          <w:lang w:val="en-US" w:eastAsia="zh-CN"/>
        </w:rPr>
        <w:t>20100201</w:t>
      </w:r>
      <w:r>
        <w:rPr>
          <w:rFonts w:hint="eastAsia" w:ascii="仿宋_GB2312" w:hAnsi="仿宋" w:eastAsia="仿宋_GB2312"/>
          <w:kern w:val="2"/>
          <w:sz w:val="32"/>
          <w:szCs w:val="32"/>
        </w:rPr>
        <w:t>）》</w:t>
      </w:r>
      <w:r>
        <w:rPr>
          <w:rFonts w:hint="eastAsia" w:ascii="仿宋_GB2312" w:hAnsi="仿宋" w:eastAsia="仿宋_GB2312"/>
          <w:kern w:val="2"/>
          <w:sz w:val="32"/>
          <w:szCs w:val="32"/>
          <w:lang w:val="en-US" w:eastAsia="zh-CN"/>
        </w:rPr>
        <w:t>JBXQ8-1-1地块界线为准</w:t>
      </w:r>
      <w:r>
        <w:rPr>
          <w:rFonts w:hint="eastAsia" w:ascii="仿宋_GB2312" w:hAnsi="仿宋" w:eastAsia="仿宋_GB2312"/>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kern w:val="2"/>
          <w:sz w:val="32"/>
          <w:szCs w:val="32"/>
        </w:rPr>
      </w:pPr>
      <w:r>
        <w:rPr>
          <w:rFonts w:hint="eastAsia" w:ascii="仿宋_GB2312" w:hAnsi="仿宋" w:eastAsia="仿宋_GB2312"/>
          <w:kern w:val="2"/>
          <w:sz w:val="32"/>
          <w:szCs w:val="32"/>
          <w:lang w:val="en-US" w:eastAsia="zh-CN"/>
        </w:rPr>
        <w:t>（三）规划指标情况：</w:t>
      </w:r>
      <w:r>
        <w:rPr>
          <w:rFonts w:ascii="Times New Roman" w:hAnsi="Times New Roman" w:eastAsia="仿宋_GB2312" w:cs="Times New Roman"/>
          <w:kern w:val="2"/>
          <w:sz w:val="32"/>
          <w:szCs w:val="32"/>
        </w:rPr>
        <w:t>根据《</w:t>
      </w:r>
      <w:r>
        <w:rPr>
          <w:rFonts w:hint="eastAsia" w:ascii="Times New Roman" w:hAnsi="Times New Roman" w:eastAsia="仿宋_GB2312" w:cs="Times New Roman"/>
          <w:kern w:val="2"/>
          <w:sz w:val="32"/>
          <w:szCs w:val="32"/>
          <w:lang w:eastAsia="zh-CN"/>
        </w:rPr>
        <w:t>关于支持指导惠州报业传媒集团做好资产盘活工作的复函</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惠市自然资函</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2019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1778号</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规划指标</w:t>
      </w:r>
      <w:r>
        <w:rPr>
          <w:rFonts w:hint="eastAsia" w:ascii="Times New Roman" w:hAnsi="Times New Roman" w:eastAsia="仿宋_GB2312" w:cs="Times New Roman"/>
          <w:kern w:val="2"/>
          <w:sz w:val="32"/>
          <w:szCs w:val="32"/>
          <w:lang w:eastAsia="zh-CN"/>
        </w:rPr>
        <w:t>详见附件</w:t>
      </w:r>
      <w:r>
        <w:rPr>
          <w:rFonts w:hint="eastAsia" w:ascii="Times New Roman" w:hAnsi="Times New Roman" w:eastAsia="仿宋_GB2312" w:cs="Times New Roman"/>
          <w:kern w:val="2"/>
          <w:sz w:val="32"/>
          <w:szCs w:val="32"/>
          <w:lang w:val="en-US" w:eastAsia="zh-CN"/>
        </w:rPr>
        <w:t>1</w:t>
      </w:r>
      <w:r>
        <w:rPr>
          <w:rFonts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 w:eastAsia="仿宋_GB2312" w:cs="Times New Roman"/>
          <w:kern w:val="2"/>
          <w:sz w:val="32"/>
          <w:szCs w:val="32"/>
          <w:lang w:eastAsia="zh-CN"/>
        </w:rPr>
      </w:pPr>
      <w:r>
        <w:rPr>
          <w:rFonts w:hint="eastAsia" w:ascii="仿宋_GB2312" w:hAnsi="仿宋" w:eastAsia="仿宋_GB2312"/>
          <w:kern w:val="2"/>
          <w:sz w:val="32"/>
          <w:szCs w:val="32"/>
        </w:rPr>
        <w:t>该地块在2000国家大地坐标系下的出让计算指标用地面积</w:t>
      </w:r>
      <w:r>
        <w:rPr>
          <w:rFonts w:hint="eastAsia" w:ascii="仿宋_GB2312" w:hAnsi="仿宋" w:eastAsia="仿宋_GB2312"/>
          <w:kern w:val="2"/>
          <w:sz w:val="32"/>
          <w:szCs w:val="32"/>
          <w:lang w:val="en-US" w:eastAsia="zh-CN"/>
        </w:rPr>
        <w:t>20000.2</w:t>
      </w:r>
      <w:r>
        <w:rPr>
          <w:rFonts w:hint="default" w:ascii="仿宋_GB2312" w:hAnsi="仿宋" w:eastAsia="仿宋_GB2312"/>
          <w:kern w:val="2"/>
          <w:sz w:val="32"/>
          <w:szCs w:val="32"/>
          <w:lang w:val="en-US" w:eastAsia="zh-CN"/>
        </w:rPr>
        <w:t>8</w:t>
      </w:r>
      <w:r>
        <w:rPr>
          <w:rFonts w:hint="eastAsia" w:ascii="仿宋_GB2312" w:hAnsi="仿宋" w:eastAsia="仿宋_GB2312"/>
          <w:color w:val="auto"/>
          <w:kern w:val="2"/>
          <w:sz w:val="32"/>
          <w:szCs w:val="32"/>
        </w:rPr>
        <w:t>平方米、宗地使用权面积</w:t>
      </w:r>
      <w:r>
        <w:rPr>
          <w:rFonts w:hint="default" w:ascii="仿宋_GB2312" w:hAnsi="仿宋" w:eastAsia="仿宋_GB2312"/>
          <w:color w:val="auto"/>
          <w:kern w:val="2"/>
          <w:sz w:val="32"/>
          <w:szCs w:val="32"/>
          <w:lang w:val="en-US" w:eastAsia="zh-CN"/>
        </w:rPr>
        <w:t>15920.28</w:t>
      </w:r>
      <w:r>
        <w:rPr>
          <w:rFonts w:hint="eastAsia" w:ascii="仿宋_GB2312" w:hAnsi="仿宋" w:eastAsia="仿宋_GB2312"/>
          <w:color w:val="auto"/>
          <w:kern w:val="2"/>
          <w:sz w:val="32"/>
          <w:szCs w:val="32"/>
        </w:rPr>
        <w:t>平方米。</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 w:eastAsia="仿宋_GB2312"/>
          <w:kern w:val="2"/>
          <w:sz w:val="32"/>
          <w:szCs w:val="32"/>
        </w:rPr>
        <w:t>（四）土地使用权出让年限：商</w:t>
      </w:r>
      <w:r>
        <w:rPr>
          <w:rFonts w:hint="eastAsia" w:ascii="仿宋_GB2312" w:hAnsi="仿宋" w:eastAsia="仿宋_GB2312"/>
          <w:kern w:val="2"/>
          <w:sz w:val="32"/>
          <w:szCs w:val="32"/>
          <w:lang w:eastAsia="zh-CN"/>
        </w:rPr>
        <w:t>服</w:t>
      </w:r>
      <w:r>
        <w:rPr>
          <w:rFonts w:hint="eastAsia" w:ascii="仿宋_GB2312" w:hAnsi="仿宋" w:eastAsia="仿宋_GB2312"/>
          <w:kern w:val="2"/>
          <w:sz w:val="32"/>
          <w:szCs w:val="32"/>
        </w:rPr>
        <w:t>用地40年。</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color w:val="auto"/>
          <w:sz w:val="32"/>
          <w:szCs w:val="32"/>
          <w:lang w:val="en-US" w:eastAsia="zh-CN"/>
        </w:rPr>
        <w:t>67900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其中国有土地使用权出让起始价为</w:t>
      </w:r>
      <w:r>
        <w:rPr>
          <w:rFonts w:hint="eastAsia" w:ascii="仿宋_GB2312" w:hAnsi="仿宋_GB2312" w:eastAsia="仿宋_GB2312" w:cs="仿宋_GB2312"/>
          <w:sz w:val="32"/>
          <w:szCs w:val="32"/>
          <w:lang w:val="en-US" w:eastAsia="zh-CN"/>
        </w:rPr>
        <w:t>23924万元，地上物业资产43976万元。</w:t>
      </w:r>
      <w:r>
        <w:rPr>
          <w:rFonts w:hint="eastAsia" w:ascii="仿宋_GB2312" w:hAnsi="仿宋" w:eastAsia="仿宋_GB2312"/>
          <w:kern w:val="2"/>
          <w:sz w:val="32"/>
          <w:szCs w:val="32"/>
        </w:rPr>
        <w:t>出让起始价中不含应由竞得人缴纳的契税、印花税等有关费用</w:t>
      </w:r>
      <w:r>
        <w:rPr>
          <w:rFonts w:hint="eastAsia" w:ascii="仿宋_GB2312" w:hAnsi="仿宋" w:eastAsia="仿宋_GB2312"/>
          <w:kern w:val="2"/>
          <w:sz w:val="32"/>
          <w:szCs w:val="32"/>
          <w:lang w:eastAsia="zh-CN"/>
        </w:rPr>
        <w:t>，溢价部分计入土地使用权出让价款。</w:t>
      </w:r>
      <w:r>
        <w:rPr>
          <w:rFonts w:hint="eastAsia" w:ascii="仿宋_GB2312" w:hAnsi="仿宋_GB2312" w:eastAsia="仿宋_GB2312" w:cs="仿宋_GB2312"/>
          <w:sz w:val="32"/>
          <w:szCs w:val="32"/>
        </w:rPr>
        <w:t>每次报价加价幅度为人民币</w:t>
      </w: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rPr>
        <w:t>00万元的整数倍。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default" w:ascii="仿宋_GB2312" w:hAnsi="仿宋_GB2312" w:eastAsia="仿宋_GB2312" w:cs="仿宋_GB2312"/>
          <w:sz w:val="32"/>
          <w:szCs w:val="32"/>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lang w:eastAsia="zh-CN"/>
        </w:rPr>
      </w:pPr>
      <w:r>
        <w:rPr>
          <w:rFonts w:hint="eastAsia" w:hAnsi="仿宋_GB2312" w:cs="仿宋_GB2312"/>
          <w:szCs w:val="32"/>
          <w:lang w:eastAsia="zh-CN"/>
        </w:rPr>
        <w:t>（一）缴交竞买保证金</w:t>
      </w:r>
      <w:r>
        <w:rPr>
          <w:rFonts w:hint="eastAsia" w:hAnsi="仿宋_GB2312" w:cs="仿宋_GB2312"/>
          <w:color w:val="auto"/>
          <w:szCs w:val="32"/>
          <w:lang w:val="en-US" w:eastAsia="zh-CN"/>
        </w:rPr>
        <w:t>13580</w:t>
      </w:r>
      <w:r>
        <w:rPr>
          <w:rFonts w:hint="eastAsia" w:hAnsi="仿宋_GB2312" w:cs="仿宋_GB2312"/>
          <w:color w:val="auto"/>
          <w:szCs w:val="32"/>
          <w:lang w:eastAsia="zh-CN"/>
        </w:rPr>
        <w:t>万元人民币，如以外币缴交竞买保证金的，须缴交美元</w:t>
      </w:r>
      <w:r>
        <w:rPr>
          <w:rFonts w:hint="eastAsia" w:hAnsi="仿宋_GB2312" w:cs="仿宋_GB2312"/>
          <w:color w:val="auto"/>
          <w:szCs w:val="32"/>
          <w:lang w:val="en-US" w:eastAsia="zh-CN"/>
        </w:rPr>
        <w:t>1948</w:t>
      </w:r>
      <w:r>
        <w:rPr>
          <w:rFonts w:hint="eastAsia" w:hAnsi="仿宋_GB2312" w:cs="仿宋_GB2312"/>
          <w:color w:val="auto"/>
          <w:szCs w:val="32"/>
          <w:lang w:eastAsia="zh-CN"/>
        </w:rPr>
        <w:t>万元或港币</w:t>
      </w:r>
      <w:r>
        <w:rPr>
          <w:rFonts w:hint="eastAsia" w:hAnsi="仿宋_GB2312" w:cs="仿宋_GB2312"/>
          <w:color w:val="auto"/>
          <w:szCs w:val="32"/>
          <w:lang w:val="en-US" w:eastAsia="zh-CN"/>
        </w:rPr>
        <w:t>15096</w:t>
      </w:r>
      <w:r>
        <w:rPr>
          <w:rFonts w:hint="eastAsia" w:hAnsi="仿宋_GB2312" w:cs="仿宋_GB2312"/>
          <w:color w:val="auto"/>
          <w:szCs w:val="32"/>
          <w:lang w:eastAsia="zh-CN"/>
        </w:rPr>
        <w:t>万元</w:t>
      </w:r>
      <w:r>
        <w:rPr>
          <w:rFonts w:hint="eastAsia" w:hAnsi="仿宋_GB2312" w:cs="仿宋_GB2312"/>
          <w:szCs w:val="32"/>
          <w:lang w:eastAsia="zh-CN"/>
        </w:rPr>
        <w:t>。</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lang w:eastAsia="zh-CN"/>
        </w:rPr>
        <w:t>（二）</w:t>
      </w:r>
      <w:r>
        <w:rPr>
          <w:rFonts w:hint="eastAsia" w:hAnsi="仿宋_GB2312" w:cs="仿宋_GB2312"/>
          <w:szCs w:val="32"/>
        </w:rPr>
        <w:t>存在下列违法违规违约行为之一的企业及其控股股东，不得参与竞买上述地块：</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仿宋_GB2312" w:hAnsi="仿宋_GB2312" w:eastAsia="仿宋_GB2312" w:cs="仿宋_GB2312"/>
          <w:sz w:val="32"/>
          <w:szCs w:val="32"/>
          <w:lang w:val="en-US"/>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kern w:val="2"/>
          <w:sz w:val="32"/>
          <w:szCs w:val="32"/>
        </w:rPr>
      </w:pPr>
      <w:r>
        <w:rPr>
          <w:rFonts w:hint="eastAsia" w:ascii="仿宋_GB2312" w:hAnsi="仿宋_GB2312" w:eastAsia="仿宋_GB2312" w:cs="仿宋_GB2312"/>
          <w:sz w:val="32"/>
          <w:szCs w:val="32"/>
        </w:rPr>
        <w:t>十二、</w:t>
      </w:r>
      <w:r>
        <w:rPr>
          <w:rFonts w:hint="eastAsia" w:ascii="仿宋_GB2312" w:hAnsi="仿宋" w:eastAsia="仿宋_GB2312"/>
          <w:kern w:val="2"/>
          <w:sz w:val="32"/>
          <w:szCs w:val="32"/>
        </w:rPr>
        <w:t>竞得人签订</w:t>
      </w:r>
      <w:r>
        <w:rPr>
          <w:rFonts w:hint="eastAsia" w:ascii="仿宋_GB2312" w:hAnsi="仿宋" w:eastAsia="仿宋_GB2312"/>
          <w:color w:val="auto"/>
          <w:kern w:val="2"/>
          <w:sz w:val="32"/>
          <w:szCs w:val="32"/>
        </w:rPr>
        <w:t>《惠州市</w:t>
      </w:r>
      <w:r>
        <w:rPr>
          <w:rFonts w:hint="eastAsia" w:ascii="仿宋_GB2312" w:hAnsi="仿宋" w:eastAsia="仿宋_GB2312"/>
          <w:color w:val="auto"/>
          <w:kern w:val="2"/>
          <w:sz w:val="32"/>
          <w:szCs w:val="32"/>
          <w:lang w:eastAsia="zh-CN"/>
        </w:rPr>
        <w:t>江北西区</w:t>
      </w:r>
      <w:r>
        <w:rPr>
          <w:rFonts w:hint="eastAsia" w:ascii="仿宋_GB2312" w:hAnsi="仿宋" w:eastAsia="仿宋_GB2312"/>
          <w:color w:val="auto"/>
          <w:kern w:val="2"/>
          <w:sz w:val="32"/>
          <w:szCs w:val="32"/>
          <w:lang w:val="en-US" w:eastAsia="zh-CN"/>
        </w:rPr>
        <w:t>A02-16-2地块</w:t>
      </w:r>
      <w:r>
        <w:rPr>
          <w:rFonts w:hint="eastAsia" w:ascii="仿宋_GB2312" w:hAnsi="仿宋" w:eastAsia="仿宋_GB2312"/>
          <w:color w:val="auto"/>
          <w:kern w:val="2"/>
          <w:sz w:val="32"/>
          <w:szCs w:val="32"/>
        </w:rPr>
        <w:t>国有建设用地使用权</w:t>
      </w:r>
      <w:r>
        <w:rPr>
          <w:rFonts w:hint="eastAsia" w:ascii="仿宋_GB2312" w:hAnsi="仿宋" w:eastAsia="仿宋_GB2312"/>
          <w:color w:val="auto"/>
          <w:kern w:val="2"/>
          <w:sz w:val="32"/>
          <w:szCs w:val="32"/>
          <w:lang w:eastAsia="zh-CN"/>
        </w:rPr>
        <w:t>及地上物业资产整体</w:t>
      </w:r>
      <w:r>
        <w:rPr>
          <w:rFonts w:hint="eastAsia" w:ascii="仿宋_GB2312" w:hAnsi="仿宋" w:eastAsia="仿宋_GB2312"/>
          <w:kern w:val="2"/>
          <w:sz w:val="32"/>
          <w:szCs w:val="32"/>
        </w:rPr>
        <w:t>网上挂牌交易成交确认书》(以下简称“《成交确认书》”)后, 保证金中按成交价的10%转为定金，竞买保证金抵作土地出让价款，《成交确认书》签订之日起</w:t>
      </w:r>
      <w:r>
        <w:rPr>
          <w:rFonts w:hint="default" w:ascii="仿宋_GB2312" w:hAnsi="仿宋" w:eastAsia="仿宋_GB2312"/>
          <w:kern w:val="2"/>
          <w:sz w:val="32"/>
          <w:szCs w:val="32"/>
          <w:lang w:val="en-US"/>
        </w:rPr>
        <w:t>5</w:t>
      </w:r>
      <w:r>
        <w:rPr>
          <w:rFonts w:hint="eastAsia" w:ascii="仿宋_GB2312" w:hAnsi="仿宋" w:eastAsia="仿宋_GB2312"/>
          <w:kern w:val="2"/>
          <w:sz w:val="32"/>
          <w:szCs w:val="32"/>
        </w:rPr>
        <w:t>个工作日内竞得人须与出让人签订《</w:t>
      </w:r>
      <w:r>
        <w:rPr>
          <w:rFonts w:hint="eastAsia" w:ascii="仿宋_GB2312" w:hAnsi="仿宋" w:eastAsia="仿宋_GB2312"/>
          <w:kern w:val="2"/>
          <w:sz w:val="32"/>
          <w:szCs w:val="32"/>
          <w:lang w:eastAsia="zh-CN"/>
        </w:rPr>
        <w:t>国有建设用地使用权</w:t>
      </w:r>
      <w:r>
        <w:rPr>
          <w:rFonts w:hint="eastAsia" w:ascii="仿宋_GB2312" w:hAnsi="仿宋" w:eastAsia="仿宋_GB2312"/>
          <w:kern w:val="2"/>
          <w:sz w:val="32"/>
          <w:szCs w:val="32"/>
        </w:rPr>
        <w:t>出让合同》，逾期自动解除《成交确认书》，定金不予返还。</w:t>
      </w:r>
    </w:p>
    <w:p>
      <w:pPr>
        <w:pStyle w:val="3"/>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仿宋_GB2312" w:hAnsi="宋体" w:eastAsia="仿宋_GB2312" w:cs="Times New Roman"/>
        </w:rPr>
      </w:pPr>
      <w:r>
        <w:rPr>
          <w:rFonts w:hint="eastAsia" w:ascii="仿宋_GB2312" w:hAnsi="仿宋" w:eastAsia="仿宋_GB2312"/>
          <w:kern w:val="2"/>
          <w:sz w:val="32"/>
          <w:szCs w:val="32"/>
        </w:rPr>
        <w:t>竞得人在签订《国有建设用地使用权出让合同》之日起</w:t>
      </w:r>
      <w:r>
        <w:rPr>
          <w:rFonts w:hint="eastAsia" w:ascii="仿宋_GB2312" w:hAnsi="仿宋" w:eastAsia="仿宋_GB2312"/>
          <w:color w:val="auto"/>
          <w:kern w:val="2"/>
          <w:sz w:val="32"/>
          <w:szCs w:val="32"/>
          <w:lang w:val="en-US" w:eastAsia="zh-CN"/>
        </w:rPr>
        <w:t>30日内付清总价款的50%,</w:t>
      </w:r>
      <w:r>
        <w:rPr>
          <w:rFonts w:hint="eastAsia" w:ascii="仿宋_GB2312" w:hAnsi="仿宋" w:eastAsia="仿宋_GB2312"/>
          <w:color w:val="auto"/>
          <w:kern w:val="2"/>
          <w:sz w:val="32"/>
          <w:szCs w:val="32"/>
          <w:lang w:eastAsia="zh-CN"/>
        </w:rPr>
        <w:t>一年</w:t>
      </w:r>
      <w:r>
        <w:rPr>
          <w:rFonts w:hint="eastAsia" w:ascii="仿宋_GB2312" w:hAnsi="仿宋" w:eastAsia="仿宋_GB2312"/>
          <w:color w:val="auto"/>
          <w:kern w:val="2"/>
          <w:sz w:val="32"/>
          <w:szCs w:val="32"/>
        </w:rPr>
        <w:t>内付清全部成交价款</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竞得</w:t>
      </w:r>
      <w:r>
        <w:rPr>
          <w:rFonts w:hint="eastAsia" w:ascii="仿宋_GB2312" w:hAnsi="宋体" w:eastAsia="仿宋_GB2312" w:cs="仿宋_GB2312"/>
        </w:rPr>
        <w:t>人在支付第二期及以后各期国有建设用地使用权出让价款时，</w:t>
      </w:r>
      <w:r>
        <w:rPr>
          <w:rFonts w:hint="eastAsia" w:ascii="仿宋_GB2312" w:hAnsi="宋体" w:eastAsia="仿宋_GB2312" w:cs="仿宋_GB2312"/>
          <w:lang w:eastAsia="zh-CN"/>
        </w:rPr>
        <w:t>应</w:t>
      </w:r>
      <w:r>
        <w:rPr>
          <w:rFonts w:hint="eastAsia" w:ascii="仿宋_GB2312" w:hAnsi="宋体" w:eastAsia="仿宋_GB2312" w:cs="仿宋_GB2312"/>
        </w:rPr>
        <w:t>按照支付第一期土地出让价款之日中国人民银行公布的贷款利率支付利息。</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kern w:val="2"/>
          <w:sz w:val="32"/>
          <w:szCs w:val="32"/>
        </w:rPr>
      </w:pPr>
      <w:r>
        <w:rPr>
          <w:rFonts w:hint="eastAsia" w:ascii="仿宋_GB2312" w:hAnsi="仿宋" w:eastAsia="仿宋_GB2312"/>
          <w:kern w:val="2"/>
          <w:sz w:val="32"/>
          <w:szCs w:val="32"/>
        </w:rPr>
        <w:t>竞得人不能按时支付地价款的，自滞纳之日起，每日按迟延支付款项的1‰向出让人缴纳违约金，延期付款超过60日，出让人有权解除《</w:t>
      </w:r>
      <w:r>
        <w:rPr>
          <w:rFonts w:hint="eastAsia" w:ascii="仿宋_GB2312" w:hAnsi="仿宋" w:eastAsia="仿宋_GB2312"/>
          <w:color w:val="auto"/>
          <w:kern w:val="2"/>
          <w:sz w:val="32"/>
          <w:szCs w:val="32"/>
          <w:lang w:eastAsia="zh-CN"/>
        </w:rPr>
        <w:t>国有土地使用权</w:t>
      </w:r>
      <w:r>
        <w:rPr>
          <w:rFonts w:hint="eastAsia" w:ascii="仿宋_GB2312" w:hAnsi="仿宋" w:eastAsia="仿宋_GB2312"/>
          <w:kern w:val="2"/>
          <w:sz w:val="32"/>
          <w:szCs w:val="32"/>
        </w:rPr>
        <w:t>出让合同》，土地由出让人无偿收回，已付定金归出让人，竞得人无权要求返还，出让人并可请求受让人赔偿损失。</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_GB2312" w:hAnsi="仿宋" w:eastAsia="仿宋_GB2312"/>
          <w:color w:val="auto"/>
          <w:kern w:val="2"/>
          <w:sz w:val="32"/>
          <w:szCs w:val="32"/>
        </w:rPr>
      </w:pPr>
      <w:r>
        <w:rPr>
          <w:rFonts w:hint="eastAsia" w:ascii="仿宋_GB2312" w:hAnsi="宋体" w:eastAsia="仿宋_GB2312" w:cs="仿宋_GB2312"/>
          <w:kern w:val="0"/>
          <w:sz w:val="32"/>
          <w:szCs w:val="32"/>
          <w:lang w:val="en-US" w:eastAsia="zh-CN" w:bidi="ar-SA"/>
        </w:rPr>
        <w:t>十三、</w:t>
      </w:r>
      <w:r>
        <w:rPr>
          <w:rFonts w:hint="eastAsia" w:ascii="仿宋_GB2312" w:hAnsi="仿宋" w:eastAsia="仿宋_GB2312"/>
          <w:color w:val="auto"/>
          <w:kern w:val="2"/>
          <w:sz w:val="32"/>
          <w:szCs w:val="32"/>
        </w:rPr>
        <w:t>竞得人</w:t>
      </w:r>
      <w:r>
        <w:rPr>
          <w:rFonts w:hint="eastAsia" w:ascii="仿宋_GB2312" w:hAnsi="仿宋" w:eastAsia="仿宋_GB2312"/>
          <w:color w:val="auto"/>
          <w:kern w:val="2"/>
          <w:sz w:val="32"/>
          <w:szCs w:val="32"/>
          <w:lang w:eastAsia="zh-CN"/>
        </w:rPr>
        <w:t>在</w:t>
      </w:r>
      <w:r>
        <w:rPr>
          <w:rFonts w:hint="eastAsia" w:ascii="仿宋_GB2312" w:hAnsi="仿宋" w:eastAsia="仿宋_GB2312"/>
          <w:color w:val="auto"/>
          <w:kern w:val="2"/>
          <w:sz w:val="32"/>
          <w:szCs w:val="32"/>
        </w:rPr>
        <w:t>签订《成交确认书》之日起</w:t>
      </w:r>
      <w:r>
        <w:rPr>
          <w:rFonts w:hint="eastAsia" w:ascii="仿宋_GB2312" w:hAnsi="仿宋" w:eastAsia="仿宋_GB2312"/>
          <w:color w:val="auto"/>
          <w:kern w:val="2"/>
          <w:sz w:val="32"/>
          <w:szCs w:val="32"/>
          <w:lang w:eastAsia="zh-CN"/>
        </w:rPr>
        <w:t>半年</w:t>
      </w:r>
      <w:r>
        <w:rPr>
          <w:rFonts w:hint="eastAsia" w:ascii="仿宋_GB2312" w:hAnsi="仿宋" w:eastAsia="仿宋_GB2312"/>
          <w:color w:val="auto"/>
          <w:kern w:val="2"/>
          <w:sz w:val="32"/>
          <w:szCs w:val="32"/>
        </w:rPr>
        <w:t>内</w:t>
      </w:r>
      <w:r>
        <w:rPr>
          <w:rFonts w:hint="eastAsia" w:ascii="仿宋_GB2312" w:hAnsi="仿宋" w:eastAsia="仿宋_GB2312"/>
          <w:color w:val="auto"/>
          <w:kern w:val="2"/>
          <w:sz w:val="32"/>
          <w:szCs w:val="32"/>
          <w:lang w:eastAsia="zh-CN"/>
        </w:rPr>
        <w:t>向惠州报业传媒集团（惠州日报社）付清地上物业资产全部价款，惠州报业传媒集团（惠州日报社）同步配合竞得人办理完地上物业资产移交手续。</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auto"/>
          <w:sz w:val="30"/>
          <w:szCs w:val="30"/>
        </w:rPr>
      </w:pPr>
      <w:r>
        <w:rPr>
          <w:rFonts w:hint="eastAsia" w:ascii="仿宋_GB2312" w:hAnsi="仿宋" w:eastAsia="仿宋_GB2312"/>
          <w:color w:val="auto"/>
          <w:kern w:val="2"/>
          <w:sz w:val="32"/>
          <w:szCs w:val="32"/>
          <w:lang w:eastAsia="zh-CN"/>
        </w:rPr>
        <w:t>（一）</w:t>
      </w:r>
      <w:r>
        <w:rPr>
          <w:rFonts w:hint="eastAsia" w:ascii="仿宋_GB2312" w:hAnsi="仿宋" w:eastAsia="仿宋_GB2312"/>
          <w:color w:val="auto"/>
          <w:kern w:val="2"/>
          <w:sz w:val="32"/>
          <w:szCs w:val="32"/>
        </w:rPr>
        <w:t>竞得人在缴清</w:t>
      </w:r>
      <w:r>
        <w:rPr>
          <w:rFonts w:hint="eastAsia" w:ascii="仿宋_GB2312" w:hAnsi="仿宋" w:eastAsia="仿宋_GB2312"/>
          <w:color w:val="auto"/>
          <w:kern w:val="2"/>
          <w:sz w:val="32"/>
          <w:szCs w:val="32"/>
          <w:lang w:eastAsia="zh-CN"/>
        </w:rPr>
        <w:t>总价款后</w:t>
      </w:r>
      <w:r>
        <w:rPr>
          <w:rFonts w:hint="eastAsia" w:ascii="仿宋_GB2312" w:hAnsi="仿宋" w:eastAsia="仿宋_GB2312"/>
          <w:color w:val="auto"/>
          <w:kern w:val="2"/>
          <w:sz w:val="32"/>
          <w:szCs w:val="32"/>
          <w:lang w:val="en-US" w:eastAsia="zh-CN"/>
        </w:rPr>
        <w:t>30日</w:t>
      </w:r>
      <w:r>
        <w:rPr>
          <w:rFonts w:hint="eastAsia" w:ascii="仿宋_GB2312" w:hAnsi="仿宋" w:eastAsia="仿宋_GB2312"/>
          <w:color w:val="auto"/>
          <w:kern w:val="2"/>
          <w:sz w:val="32"/>
          <w:szCs w:val="32"/>
          <w:lang w:eastAsia="zh-CN"/>
        </w:rPr>
        <w:t>内办理交地手续。</w:t>
      </w:r>
      <w:r>
        <w:rPr>
          <w:rFonts w:hint="eastAsia" w:ascii="仿宋_GB2312" w:hAnsi="仿宋" w:eastAsia="仿宋_GB2312"/>
          <w:color w:val="auto"/>
          <w:kern w:val="2"/>
          <w:sz w:val="32"/>
          <w:szCs w:val="32"/>
        </w:rPr>
        <w:t>凭《交地确认书》</w:t>
      </w:r>
      <w:r>
        <w:rPr>
          <w:rFonts w:hint="eastAsia" w:ascii="仿宋_GB2312" w:hAnsi="仿宋" w:eastAsia="仿宋_GB2312"/>
          <w:color w:val="auto"/>
          <w:kern w:val="2"/>
          <w:sz w:val="32"/>
          <w:szCs w:val="32"/>
          <w:lang w:eastAsia="zh-CN"/>
        </w:rPr>
        <w:t>、《国有土地使用权出让合同》、物业资产移交手续、价款缴交凭证、税费缴交凭证等申请办理</w:t>
      </w:r>
      <w:r>
        <w:rPr>
          <w:rFonts w:hint="eastAsia" w:ascii="仿宋_GB2312" w:hAnsi="仿宋" w:eastAsia="仿宋_GB2312" w:cs="Times New Roman"/>
          <w:color w:val="auto"/>
          <w:kern w:val="2"/>
          <w:sz w:val="32"/>
          <w:szCs w:val="32"/>
          <w:lang w:eastAsia="zh-CN"/>
        </w:rPr>
        <w:t>商业办公性质的工程规划许可及不动产登记手续。</w:t>
      </w:r>
      <w:r>
        <w:rPr>
          <w:rFonts w:hint="eastAsia" w:ascii="Times New Roman" w:hAnsi="Times New Roman" w:eastAsia="仿宋_GB2312"/>
          <w:color w:val="auto"/>
          <w:sz w:val="30"/>
          <w:szCs w:val="30"/>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olor w:val="auto"/>
          <w:kern w:val="2"/>
          <w:sz w:val="32"/>
          <w:szCs w:val="32"/>
          <w:lang w:eastAsia="zh-CN"/>
        </w:rPr>
        <w:t>（二）</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赵小姐</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286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ind w:firstLine="5120" w:firstLineChars="1600"/>
        <w:rPr>
          <w:rFonts w:hint="eastAsia" w:ascii="仿宋_GB2312" w:eastAsia="仿宋_GB2312"/>
          <w:sz w:val="32"/>
          <w:szCs w:val="32"/>
          <w:lang w:val="en-US" w:eastAsia="zh-CN"/>
        </w:rPr>
      </w:pPr>
      <w:r>
        <w:rPr>
          <w:rFonts w:hint="eastAsia" w:ascii="仿宋_GB2312" w:eastAsia="仿宋_GB2312"/>
          <w:sz w:val="32"/>
          <w:szCs w:val="32"/>
          <w:lang w:val="en-US" w:eastAsia="zh-CN"/>
        </w:rPr>
        <w:t>2020年8月20日</w:t>
      </w:r>
    </w:p>
    <w:p>
      <w:pPr>
        <w:spacing w:line="360" w:lineRule="auto"/>
        <w:rPr>
          <w:rFonts w:hint="eastAsia" w:ascii="仿宋_GB2312" w:eastAsia="仿宋_GB2312"/>
          <w:sz w:val="32"/>
          <w:szCs w:val="32"/>
          <w:lang w:val="en-US" w:eastAsia="zh-CN"/>
        </w:rPr>
      </w:pPr>
    </w:p>
    <w:p>
      <w:pPr>
        <w:spacing w:line="360" w:lineRule="auto"/>
        <w:rPr>
          <w:rFonts w:hint="eastAsia" w:ascii="仿宋_GB2312" w:eastAsia="仿宋_GB2312"/>
          <w:sz w:val="32"/>
          <w:szCs w:val="32"/>
          <w:lang w:val="en-US" w:eastAsia="zh-CN"/>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79"/>
        <w:gridCol w:w="732"/>
        <w:gridCol w:w="645"/>
        <w:gridCol w:w="933"/>
        <w:gridCol w:w="1197"/>
        <w:gridCol w:w="1074"/>
        <w:gridCol w:w="615"/>
        <w:gridCol w:w="690"/>
        <w:gridCol w:w="930"/>
        <w:gridCol w:w="864"/>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834"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挂牌地块编号</w:t>
            </w:r>
          </w:p>
        </w:tc>
        <w:tc>
          <w:tcPr>
            <w:tcW w:w="879" w:type="dxa"/>
            <w:vMerge w:val="restart"/>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位置</w:t>
            </w:r>
          </w:p>
        </w:tc>
        <w:tc>
          <w:tcPr>
            <w:tcW w:w="732"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规划编号</w:t>
            </w:r>
          </w:p>
        </w:tc>
        <w:tc>
          <w:tcPr>
            <w:tcW w:w="645" w:type="dxa"/>
            <w:vMerge w:val="restart"/>
            <w:vAlign w:val="center"/>
          </w:tcPr>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土地</w:t>
            </w:r>
          </w:p>
          <w:p>
            <w:pPr>
              <w:adjustRightInd w:val="0"/>
              <w:snapToGrid w:val="0"/>
              <w:spacing w:line="320" w:lineRule="exact"/>
              <w:jc w:val="center"/>
              <w:rPr>
                <w:rFonts w:hint="eastAsia" w:ascii="仿宋_GB2312" w:eastAsia="仿宋_GB2312"/>
                <w:b/>
                <w:bCs/>
                <w:color w:val="auto"/>
                <w:szCs w:val="21"/>
              </w:rPr>
            </w:pPr>
            <w:r>
              <w:rPr>
                <w:rFonts w:hint="eastAsia" w:ascii="仿宋_GB2312" w:eastAsia="仿宋_GB2312"/>
                <w:b/>
                <w:bCs/>
                <w:color w:val="auto"/>
                <w:szCs w:val="21"/>
              </w:rPr>
              <w:t>用途</w:t>
            </w:r>
          </w:p>
        </w:tc>
        <w:tc>
          <w:tcPr>
            <w:tcW w:w="933" w:type="dxa"/>
            <w:vMerge w:val="restart"/>
            <w:vAlign w:val="center"/>
          </w:tcPr>
          <w:p>
            <w:pPr>
              <w:adjustRightInd w:val="0"/>
              <w:snapToGrid w:val="0"/>
              <w:spacing w:line="32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宗地使用权面积</w:t>
            </w:r>
            <w:r>
              <w:rPr>
                <w:rFonts w:hint="eastAsia" w:ascii="仿宋_GB2312" w:eastAsia="仿宋_GB2312"/>
                <w:b/>
                <w:bCs/>
                <w:color w:val="auto"/>
                <w:szCs w:val="21"/>
              </w:rPr>
              <w:t>（</w:t>
            </w:r>
            <w:r>
              <w:rPr>
                <w:rFonts w:hint="eastAsia" w:ascii="宋体" w:hAnsi="宋体" w:cs="宋体"/>
                <w:b/>
                <w:bCs/>
                <w:color w:val="auto"/>
                <w:szCs w:val="21"/>
              </w:rPr>
              <w:t>㎡</w:t>
            </w:r>
            <w:r>
              <w:rPr>
                <w:rFonts w:hint="eastAsia" w:ascii="仿宋_GB2312" w:eastAsia="仿宋_GB2312"/>
                <w:b/>
                <w:bCs/>
                <w:color w:val="auto"/>
                <w:szCs w:val="21"/>
              </w:rPr>
              <w:t>）</w:t>
            </w:r>
          </w:p>
        </w:tc>
        <w:tc>
          <w:tcPr>
            <w:tcW w:w="5370" w:type="dxa"/>
            <w:gridSpan w:val="6"/>
            <w:vAlign w:val="center"/>
          </w:tcPr>
          <w:p>
            <w:pPr>
              <w:adjustRightInd w:val="0"/>
              <w:snapToGrid w:val="0"/>
              <w:spacing w:line="320" w:lineRule="exact"/>
              <w:ind w:left="-27" w:leftChars="-51" w:hanging="80" w:hangingChars="38"/>
              <w:jc w:val="center"/>
              <w:rPr>
                <w:rFonts w:hint="eastAsia" w:ascii="仿宋_GB2312" w:eastAsia="仿宋_GB2312"/>
                <w:b/>
                <w:bCs/>
                <w:color w:val="auto"/>
                <w:szCs w:val="21"/>
              </w:rPr>
            </w:pPr>
            <w:r>
              <w:rPr>
                <w:rFonts w:hint="eastAsia" w:ascii="仿宋_GB2312" w:eastAsia="仿宋_GB2312"/>
                <w:b/>
                <w:bCs/>
                <w:color w:val="auto"/>
                <w:szCs w:val="21"/>
              </w:rPr>
              <w:t>规划指标要求</w:t>
            </w:r>
          </w:p>
        </w:tc>
        <w:tc>
          <w:tcPr>
            <w:tcW w:w="915" w:type="dxa"/>
            <w:vMerge w:val="restart"/>
            <w:vAlign w:val="center"/>
          </w:tcPr>
          <w:p>
            <w:pPr>
              <w:adjustRightInd w:val="0"/>
              <w:snapToGrid w:val="0"/>
              <w:spacing w:line="320" w:lineRule="exact"/>
              <w:ind w:left="-27" w:leftChars="-51" w:hanging="80" w:hangingChars="38"/>
              <w:jc w:val="center"/>
              <w:rPr>
                <w:rFonts w:hint="eastAsia" w:ascii="仿宋_GB2312" w:eastAsia="仿宋_GB2312"/>
                <w:b/>
                <w:bCs/>
                <w:color w:val="auto"/>
                <w:szCs w:val="21"/>
                <w:lang w:eastAsia="zh-CN"/>
              </w:rPr>
            </w:pPr>
            <w:r>
              <w:rPr>
                <w:rFonts w:hint="eastAsia" w:ascii="仿宋_GB2312" w:eastAsia="仿宋_GB2312"/>
                <w:b/>
                <w:bCs/>
                <w:color w:val="auto"/>
                <w:szCs w:val="21"/>
              </w:rPr>
              <w:t>土地使用权出让年限</w:t>
            </w:r>
            <w:r>
              <w:rPr>
                <w:rFonts w:hint="eastAsia" w:ascii="仿宋_GB2312" w:eastAsia="仿宋_GB2312"/>
                <w:b/>
                <w:bCs/>
                <w:color w:val="auto"/>
                <w:szCs w:val="21"/>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jc w:val="center"/>
        </w:trPr>
        <w:tc>
          <w:tcPr>
            <w:tcW w:w="834"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879"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732"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645" w:type="dxa"/>
            <w:vMerge w:val="continue"/>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p>
        </w:tc>
        <w:tc>
          <w:tcPr>
            <w:tcW w:w="933" w:type="dxa"/>
            <w:vMerge w:val="continue"/>
            <w:vAlign w:val="center"/>
          </w:tcPr>
          <w:p>
            <w:pPr>
              <w:adjustRightInd w:val="0"/>
              <w:snapToGrid w:val="0"/>
              <w:spacing w:line="320" w:lineRule="exact"/>
              <w:jc w:val="center"/>
              <w:rPr>
                <w:rFonts w:hint="eastAsia" w:ascii="仿宋_GB2312" w:eastAsia="仿宋_GB2312"/>
                <w:b/>
                <w:bCs/>
                <w:color w:val="auto"/>
              </w:rPr>
            </w:pPr>
          </w:p>
        </w:tc>
        <w:tc>
          <w:tcPr>
            <w:tcW w:w="1197" w:type="dxa"/>
            <w:vAlign w:val="center"/>
          </w:tcPr>
          <w:p>
            <w:pPr>
              <w:spacing w:line="320" w:lineRule="exact"/>
              <w:jc w:val="center"/>
              <w:rPr>
                <w:rFonts w:hint="eastAsia" w:ascii="仿宋_GB2312" w:eastAsia="仿宋_GB2312"/>
                <w:b/>
                <w:bCs/>
                <w:color w:val="auto"/>
              </w:rPr>
            </w:pPr>
            <w:r>
              <w:rPr>
                <w:rFonts w:hint="eastAsia" w:ascii="仿宋_GB2312" w:eastAsia="仿宋_GB2312"/>
                <w:b/>
                <w:bCs/>
                <w:color w:val="auto"/>
                <w:szCs w:val="21"/>
              </w:rPr>
              <w:t>计算指标用地面积（</w:t>
            </w:r>
            <w:r>
              <w:rPr>
                <w:rFonts w:hint="eastAsia" w:ascii="宋体" w:hAnsi="宋体" w:cs="宋体"/>
                <w:b/>
                <w:bCs/>
                <w:color w:val="auto"/>
                <w:szCs w:val="21"/>
              </w:rPr>
              <w:t>㎡</w:t>
            </w:r>
            <w:r>
              <w:rPr>
                <w:rFonts w:hint="eastAsia" w:ascii="仿宋_GB2312" w:eastAsia="仿宋_GB2312"/>
                <w:b/>
                <w:bCs/>
                <w:color w:val="auto"/>
                <w:szCs w:val="21"/>
              </w:rPr>
              <w:t>）</w:t>
            </w:r>
          </w:p>
          <w:p>
            <w:pPr>
              <w:jc w:val="center"/>
              <w:rPr>
                <w:rFonts w:hint="default" w:ascii="仿宋_GB2312" w:hAnsi="Times New Roman" w:eastAsia="仿宋_GB2312"/>
                <w:color w:val="auto"/>
                <w:szCs w:val="21"/>
                <w:lang w:val="en-US" w:eastAsia="zh-CN"/>
              </w:rPr>
            </w:pPr>
          </w:p>
        </w:tc>
        <w:tc>
          <w:tcPr>
            <w:tcW w:w="1074" w:type="dxa"/>
            <w:vAlign w:val="center"/>
          </w:tcPr>
          <w:p>
            <w:pPr>
              <w:jc w:val="center"/>
              <w:rPr>
                <w:rFonts w:hint="default" w:ascii="仿宋_GB2312" w:hAnsi="Times New Roman" w:eastAsia="仿宋_GB2312"/>
                <w:color w:val="auto"/>
                <w:szCs w:val="21"/>
                <w:lang w:val="en-US" w:eastAsia="zh-CN"/>
              </w:rPr>
            </w:pPr>
            <w:r>
              <w:rPr>
                <w:rFonts w:hint="default" w:ascii="仿宋_GB2312" w:hAnsi="Times New Roman" w:eastAsia="仿宋_GB2312"/>
                <w:b/>
                <w:bCs/>
                <w:color w:val="auto"/>
                <w:szCs w:val="21"/>
                <w:lang w:val="en-US" w:eastAsia="zh-CN"/>
              </w:rPr>
              <w:t>建筑密度（%）</w:t>
            </w:r>
          </w:p>
        </w:tc>
        <w:tc>
          <w:tcPr>
            <w:tcW w:w="615" w:type="dxa"/>
            <w:vAlign w:val="center"/>
          </w:tcPr>
          <w:p>
            <w:pPr>
              <w:spacing w:line="320" w:lineRule="exact"/>
              <w:jc w:val="center"/>
              <w:rPr>
                <w:rFonts w:hint="eastAsia" w:ascii="仿宋_GB2312" w:eastAsia="仿宋_GB2312"/>
                <w:b/>
                <w:bCs/>
                <w:color w:val="auto"/>
                <w:szCs w:val="21"/>
              </w:rPr>
            </w:pPr>
            <w:r>
              <w:rPr>
                <w:rFonts w:hint="eastAsia" w:ascii="仿宋_GB2312" w:eastAsia="仿宋_GB2312"/>
                <w:b/>
                <w:bCs/>
                <w:color w:val="auto"/>
                <w:szCs w:val="21"/>
                <w:lang w:eastAsia="zh-CN"/>
              </w:rPr>
              <w:t>容积率</w:t>
            </w:r>
          </w:p>
        </w:tc>
        <w:tc>
          <w:tcPr>
            <w:tcW w:w="690" w:type="dxa"/>
            <w:vAlign w:val="center"/>
          </w:tcPr>
          <w:p>
            <w:pPr>
              <w:spacing w:line="320" w:lineRule="exact"/>
              <w:jc w:val="center"/>
              <w:rPr>
                <w:rFonts w:hint="eastAsia" w:ascii="仿宋_GB2312" w:eastAsia="仿宋_GB2312"/>
                <w:b/>
                <w:bCs/>
                <w:color w:val="auto"/>
                <w:szCs w:val="21"/>
                <w:lang w:eastAsia="zh-CN"/>
              </w:rPr>
            </w:pPr>
            <w:r>
              <w:rPr>
                <w:rFonts w:hint="eastAsia" w:ascii="仿宋_GB2312" w:eastAsia="仿宋_GB2312"/>
                <w:b/>
                <w:bCs/>
                <w:color w:val="auto"/>
                <w:szCs w:val="21"/>
                <w:lang w:eastAsia="zh-CN"/>
              </w:rPr>
              <w:t>绿地率（%）</w:t>
            </w:r>
          </w:p>
        </w:tc>
        <w:tc>
          <w:tcPr>
            <w:tcW w:w="930" w:type="dxa"/>
            <w:vAlign w:val="center"/>
          </w:tcPr>
          <w:p>
            <w:pPr>
              <w:spacing w:line="320" w:lineRule="exact"/>
              <w:ind w:left="44" w:right="-53" w:rightChars="-25" w:hanging="44" w:hangingChars="21"/>
              <w:jc w:val="center"/>
              <w:rPr>
                <w:rFonts w:hint="eastAsia" w:ascii="仿宋" w:hAnsi="仿宋" w:eastAsia="仿宋" w:cs="仿宋"/>
                <w:b/>
                <w:bCs/>
                <w:color w:val="auto"/>
                <w:szCs w:val="21"/>
              </w:rPr>
            </w:pPr>
            <w:r>
              <w:rPr>
                <w:rFonts w:hint="eastAsia" w:ascii="仿宋" w:hAnsi="仿宋" w:eastAsia="仿宋" w:cs="仿宋"/>
                <w:b/>
                <w:bCs/>
                <w:color w:val="auto"/>
                <w:szCs w:val="21"/>
              </w:rPr>
              <w:t>计容积率建筑面积（㎡）</w:t>
            </w:r>
          </w:p>
        </w:tc>
        <w:tc>
          <w:tcPr>
            <w:tcW w:w="864" w:type="dxa"/>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r>
              <w:rPr>
                <w:rFonts w:hint="eastAsia" w:ascii="仿宋_GB2312" w:eastAsia="仿宋_GB2312"/>
                <w:b/>
                <w:bCs/>
                <w:color w:val="auto"/>
              </w:rPr>
              <w:t>机动车停车位（个）</w:t>
            </w:r>
          </w:p>
        </w:tc>
        <w:tc>
          <w:tcPr>
            <w:tcW w:w="915" w:type="dxa"/>
            <w:vMerge w:val="continue"/>
            <w:vAlign w:val="center"/>
          </w:tcPr>
          <w:p>
            <w:pPr>
              <w:adjustRightInd w:val="0"/>
              <w:snapToGrid w:val="0"/>
              <w:spacing w:line="320" w:lineRule="exact"/>
              <w:ind w:left="-27" w:leftChars="-51" w:hanging="80" w:hangingChars="38"/>
              <w:jc w:val="center"/>
              <w:rPr>
                <w:rFonts w:hint="eastAsia" w:ascii="仿宋_GB2312" w:eastAsia="仿宋_GB2312"/>
                <w:b/>
                <w:bCs/>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6" w:hRule="atLeast"/>
          <w:jc w:val="center"/>
        </w:trPr>
        <w:tc>
          <w:tcPr>
            <w:tcW w:w="834" w:type="dxa"/>
            <w:tcMar>
              <w:left w:w="0" w:type="dxa"/>
              <w:right w:w="0" w:type="dxa"/>
            </w:tcMar>
            <w:vAlign w:val="center"/>
          </w:tcPr>
          <w:p>
            <w:pPr>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GP2020</w:t>
            </w:r>
          </w:p>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w:t>
            </w:r>
            <w:r>
              <w:rPr>
                <w:rFonts w:hint="eastAsia" w:ascii="仿宋_GB2312" w:eastAsia="仿宋_GB2312"/>
                <w:color w:val="auto"/>
                <w:szCs w:val="21"/>
                <w:lang w:val="en-US" w:eastAsia="zh-CN"/>
              </w:rPr>
              <w:t>29</w:t>
            </w:r>
          </w:p>
        </w:tc>
        <w:tc>
          <w:tcPr>
            <w:tcW w:w="879" w:type="dxa"/>
            <w:vAlign w:val="center"/>
          </w:tcPr>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惠州市</w:t>
            </w:r>
            <w:r>
              <w:rPr>
                <w:rFonts w:hint="eastAsia" w:ascii="仿宋_GB2312" w:hAnsi="Times New Roman" w:eastAsia="仿宋_GB2312"/>
                <w:color w:val="auto"/>
                <w:szCs w:val="21"/>
                <w:lang w:eastAsia="zh-CN"/>
              </w:rPr>
              <w:t>江北三新村</w:t>
            </w:r>
            <w:r>
              <w:rPr>
                <w:rFonts w:hint="eastAsia" w:ascii="仿宋_GB2312" w:hAnsi="Times New Roman" w:eastAsia="仿宋_GB2312"/>
                <w:color w:val="auto"/>
                <w:szCs w:val="21"/>
                <w:lang w:val="en-US" w:eastAsia="zh-CN"/>
              </w:rPr>
              <w:t>A02-16-2地块</w:t>
            </w:r>
          </w:p>
        </w:tc>
        <w:tc>
          <w:tcPr>
            <w:tcW w:w="732" w:type="dxa"/>
            <w:vAlign w:val="center"/>
          </w:tcPr>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s="Times New Roman"/>
                <w:color w:val="auto"/>
                <w:szCs w:val="21"/>
                <w:lang w:val="en-US" w:eastAsia="zh-CN"/>
              </w:rPr>
              <w:t>A02-16-2（原编号JBXQ8-1-1）</w:t>
            </w:r>
          </w:p>
        </w:tc>
        <w:tc>
          <w:tcPr>
            <w:tcW w:w="645" w:type="dxa"/>
            <w:tcMar>
              <w:left w:w="0" w:type="dxa"/>
              <w:right w:w="0" w:type="dxa"/>
            </w:tcMar>
            <w:vAlign w:val="center"/>
          </w:tcPr>
          <w:p>
            <w:pPr>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商服</w:t>
            </w:r>
          </w:p>
          <w:p>
            <w:pPr>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用地</w:t>
            </w:r>
          </w:p>
        </w:tc>
        <w:tc>
          <w:tcPr>
            <w:tcW w:w="933" w:type="dxa"/>
            <w:tcMar>
              <w:left w:w="0" w:type="dxa"/>
              <w:right w:w="0" w:type="dxa"/>
            </w:tcMar>
            <w:vAlign w:val="center"/>
          </w:tcPr>
          <w:p>
            <w:pPr>
              <w:jc w:val="center"/>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15920.28</w:t>
            </w:r>
          </w:p>
        </w:tc>
        <w:tc>
          <w:tcPr>
            <w:tcW w:w="1197" w:type="dxa"/>
            <w:vAlign w:val="center"/>
          </w:tcPr>
          <w:p>
            <w:pPr>
              <w:jc w:val="center"/>
              <w:rPr>
                <w:rFonts w:hint="default" w:ascii="仿宋_GB2312" w:hAnsi="Times New Roman" w:eastAsia="仿宋_GB2312"/>
                <w:color w:val="auto"/>
                <w:szCs w:val="21"/>
                <w:lang w:val="en-US" w:eastAsia="zh-CN"/>
              </w:rPr>
            </w:pPr>
            <w:r>
              <w:rPr>
                <w:rFonts w:hint="eastAsia" w:ascii="仿宋" w:hAnsi="仿宋" w:eastAsia="仿宋"/>
                <w:color w:val="auto"/>
                <w:lang w:val="en-US" w:eastAsia="zh-CN"/>
              </w:rPr>
              <w:t>20000.28</w:t>
            </w:r>
          </w:p>
        </w:tc>
        <w:tc>
          <w:tcPr>
            <w:tcW w:w="1074" w:type="dxa"/>
            <w:vAlign w:val="center"/>
          </w:tcPr>
          <w:p>
            <w:pPr>
              <w:jc w:val="center"/>
              <w:rPr>
                <w:rFonts w:hint="eastAsia" w:ascii="仿宋" w:hAnsi="仿宋" w:eastAsia="仿宋"/>
                <w:color w:val="auto"/>
                <w:lang w:val="en-US" w:eastAsia="zh-CN"/>
              </w:rPr>
            </w:pPr>
            <w:r>
              <w:rPr>
                <w:rFonts w:hint="eastAsia" w:ascii="仿宋" w:hAnsi="仿宋" w:eastAsia="仿宋"/>
                <w:color w:val="auto"/>
                <w:lang w:val="en-US" w:eastAsia="zh-CN"/>
              </w:rPr>
              <w:t>≤30</w:t>
            </w:r>
          </w:p>
        </w:tc>
        <w:tc>
          <w:tcPr>
            <w:tcW w:w="615" w:type="dxa"/>
            <w:vAlign w:val="center"/>
          </w:tcPr>
          <w:p>
            <w:pPr>
              <w:ind w:left="-103"/>
              <w:jc w:val="center"/>
              <w:rPr>
                <w:rFonts w:hint="default" w:ascii="仿宋_GB2312" w:hAnsi="Times New Roman" w:eastAsia="仿宋_GB2312"/>
                <w:color w:val="auto"/>
                <w:szCs w:val="21"/>
                <w:lang w:val="en-US" w:eastAsia="zh-CN"/>
              </w:rPr>
            </w:pPr>
            <w:r>
              <w:rPr>
                <w:rFonts w:hint="eastAsia" w:ascii="仿宋" w:hAnsi="仿宋" w:eastAsia="仿宋"/>
                <w:color w:val="auto"/>
                <w:lang w:val="en-US" w:eastAsia="zh-CN"/>
              </w:rPr>
              <w:t>≤2.26</w:t>
            </w:r>
          </w:p>
        </w:tc>
        <w:tc>
          <w:tcPr>
            <w:tcW w:w="690" w:type="dxa"/>
            <w:vAlign w:val="center"/>
          </w:tcPr>
          <w:p>
            <w:pPr>
              <w:ind w:left="-103"/>
              <w:jc w:val="center"/>
              <w:rPr>
                <w:rFonts w:hint="eastAsia" w:ascii="仿宋" w:hAnsi="仿宋" w:eastAsia="仿宋"/>
                <w:color w:val="auto"/>
                <w:lang w:val="en-US" w:eastAsia="zh-CN"/>
              </w:rPr>
            </w:pPr>
            <w:r>
              <w:rPr>
                <w:rFonts w:hint="eastAsia" w:ascii="仿宋" w:hAnsi="仿宋" w:eastAsia="仿宋"/>
                <w:color w:val="auto"/>
                <w:lang w:val="en-US" w:eastAsia="zh-CN"/>
              </w:rPr>
              <w:t>≥30</w:t>
            </w:r>
          </w:p>
        </w:tc>
        <w:tc>
          <w:tcPr>
            <w:tcW w:w="930" w:type="dxa"/>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45200</w:t>
            </w:r>
          </w:p>
        </w:tc>
        <w:tc>
          <w:tcPr>
            <w:tcW w:w="864" w:type="dxa"/>
            <w:vAlign w:val="center"/>
          </w:tcPr>
          <w:p>
            <w:pPr>
              <w:jc w:val="center"/>
              <w:rPr>
                <w:rFonts w:hint="eastAsia" w:ascii="仿宋" w:hAnsi="仿宋" w:eastAsia="仿宋"/>
                <w:color w:val="auto"/>
                <w:lang w:eastAsia="zh-CN"/>
              </w:rPr>
            </w:pPr>
            <w:r>
              <w:rPr>
                <w:rFonts w:hint="eastAsia" w:ascii="仿宋" w:hAnsi="仿宋" w:eastAsia="仿宋"/>
                <w:color w:val="auto"/>
                <w:lang w:val="en-US" w:eastAsia="zh-CN"/>
              </w:rPr>
              <w:t>450</w:t>
            </w:r>
          </w:p>
        </w:tc>
        <w:tc>
          <w:tcPr>
            <w:tcW w:w="915" w:type="dxa"/>
            <w:vAlign w:val="center"/>
          </w:tcPr>
          <w:p>
            <w:pPr>
              <w:jc w:val="center"/>
              <w:rPr>
                <w:rFonts w:hint="default" w:ascii="仿宋" w:hAnsi="仿宋" w:eastAsia="仿宋"/>
                <w:color w:val="auto"/>
                <w:lang w:val="en-US" w:eastAsia="zh-CN"/>
              </w:rPr>
            </w:pPr>
            <w:r>
              <w:rPr>
                <w:rFonts w:hint="eastAsia" w:ascii="仿宋" w:hAnsi="仿宋" w:eastAsia="仿宋"/>
                <w:color w:val="auto"/>
                <w:lang w:eastAsia="zh-CN"/>
              </w:rPr>
              <w:t>商服用地</w:t>
            </w:r>
            <w:r>
              <w:rPr>
                <w:rFonts w:hint="eastAsia" w:ascii="仿宋" w:hAnsi="仿宋" w:eastAsia="仿宋"/>
                <w:color w:val="auto"/>
                <w:lang w:val="en-US" w:eastAsia="zh-CN"/>
              </w:rPr>
              <w:t>40年</w:t>
            </w:r>
          </w:p>
        </w:tc>
      </w:tr>
    </w:tbl>
    <w:p>
      <w:pPr>
        <w:spacing w:line="360" w:lineRule="auto"/>
        <w:ind w:firstLine="5120" w:firstLineChars="1600"/>
        <w:rPr>
          <w:rFonts w:hint="default" w:ascii="仿宋_GB2312" w:eastAsia="仿宋_GB2312"/>
          <w:sz w:val="32"/>
          <w:szCs w:val="32"/>
          <w:lang w:val="en-US" w:eastAsia="zh-CN"/>
        </w:rPr>
        <w:sectPr>
          <w:headerReference r:id="rId3" w:type="default"/>
          <w:footerReference r:id="rId4" w:type="default"/>
          <w:pgSz w:w="11906" w:h="16838"/>
          <w:pgMar w:top="1440" w:right="1440" w:bottom="1440" w:left="1440" w:header="851" w:footer="992" w:gutter="0"/>
          <w:pgNumType w:fmt="numberInDash" w:start="1"/>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7"/>
                            </w:rPr>
                          </w:pPr>
                          <w:r>
                            <w:fldChar w:fldCharType="begin"/>
                          </w:r>
                          <w:r>
                            <w:rPr>
                              <w:rStyle w:val="7"/>
                            </w:rPr>
                            <w:instrText xml:space="preserve">PAGE  </w:instrText>
                          </w:r>
                          <w:r>
                            <w:fldChar w:fldCharType="separate"/>
                          </w:r>
                          <w:r>
                            <w:rPr>
                              <w:rStyle w:val="7"/>
                            </w:rP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3483B"/>
    <w:rsid w:val="1BA37CCC"/>
    <w:rsid w:val="3C523A10"/>
    <w:rsid w:val="4DFD789D"/>
    <w:rsid w:val="50E05F15"/>
    <w:rsid w:val="6043483B"/>
    <w:rsid w:val="639D102F"/>
    <w:rsid w:val="6B035EB3"/>
    <w:rsid w:val="6CDC7A5F"/>
    <w:rsid w:val="6EEC65B3"/>
    <w:rsid w:val="7276457D"/>
    <w:rsid w:val="7F46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uiPriority w:val="0"/>
    <w:rPr>
      <w:rFonts w:ascii="宋体" w:hAnsi="Courier New"/>
      <w:kern w:val="0"/>
      <w:sz w:val="32"/>
      <w:szCs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29</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2020-08-19T02:46:00Z</dcterms:created>
  <dc:creator>黄春枚</dc:creator>
  <cp:lastModifiedBy>黄春枚</cp:lastModifiedBy>
  <dcterms:modified xsi:type="dcterms:W3CDTF">2020-08-20T07:17:37Z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