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016</w:t>
      </w:r>
      <w:r>
        <w:rPr>
          <w:rFonts w:hint="eastAsia" w:ascii="仿宋_GB2312" w:eastAsia="仿宋_GB2312"/>
          <w:sz w:val="32"/>
          <w:szCs w:val="32"/>
        </w:rPr>
        <w:t>号</w:t>
      </w:r>
    </w:p>
    <w:p>
      <w:pPr>
        <w:pStyle w:val="2"/>
        <w:rPr>
          <w:rFonts w:hint="eastAsia"/>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w:t>
      </w:r>
      <w:r>
        <w:rPr>
          <w:rFonts w:hint="eastAsia" w:ascii="Times New Roman" w:hAnsi="Times New Roman" w:eastAsia="仿宋_GB2312" w:cs="Times New Roman"/>
          <w:sz w:val="32"/>
          <w:lang w:eastAsia="zh-CN"/>
        </w:rPr>
        <w:t>39</w:t>
      </w:r>
      <w:r>
        <w:rPr>
          <w:rFonts w:hint="eastAsia" w:ascii="仿宋_GB2312" w:hAnsi="仿宋_GB2312" w:eastAsia="仿宋_GB2312" w:cs="仿宋_GB2312"/>
          <w:sz w:val="32"/>
          <w:szCs w:val="32"/>
        </w:rPr>
        <w:t>号《招标拍卖挂牌出让国有建设用地使用权规定》和广东省人民政府令第</w:t>
      </w:r>
      <w:r>
        <w:rPr>
          <w:rFonts w:hint="eastAsia" w:ascii="Times New Roman" w:hAnsi="Times New Roman" w:eastAsia="仿宋_GB2312" w:cs="Times New Roman"/>
          <w:sz w:val="32"/>
          <w:lang w:eastAsia="zh-CN"/>
        </w:rPr>
        <w:t>79</w:t>
      </w:r>
      <w:r>
        <w:rPr>
          <w:rFonts w:hint="eastAsia" w:ascii="仿宋_GB2312" w:hAnsi="仿宋_GB2312" w:eastAsia="仿宋_GB2312" w:cs="仿宋_GB2312"/>
          <w:sz w:val="32"/>
          <w:szCs w:val="32"/>
        </w:rPr>
        <w:t>号《广东省土地使用权交易市场管理规定》的规定，经惠州市人民政府批准，惠州市自然资源局决定以网上挂牌方式出让下列</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宗国有建设用地使用权，本次国有建设用地使用权网上挂牌出让交易具体事务委托惠州市公共资源交易中心办理。现将有关事项公告如下：</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w:t>
      </w:r>
      <w:r>
        <w:rPr>
          <w:rFonts w:hint="eastAsia" w:ascii="Times New Roman" w:hAnsi="Times New Roman" w:eastAsia="仿宋_GB2312" w:cs="Times New Roman"/>
          <w:sz w:val="32"/>
          <w:lang w:eastAsia="zh-CN"/>
        </w:rPr>
        <w:t>20</w:t>
      </w:r>
      <w:r>
        <w:rPr>
          <w:rFonts w:hint="eastAsia" w:ascii="Times New Roman" w:hAnsi="Times New Roman" w:eastAsia="仿宋_GB2312" w:cs="Times New Roman"/>
          <w:sz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w:t>
      </w:r>
      <w:r>
        <w:rPr>
          <w:rFonts w:hint="eastAsia" w:ascii="Times New Roman" w:hAnsi="Times New Roman" w:eastAsia="仿宋_GB2312" w:cs="Times New Roman"/>
          <w:sz w:val="32"/>
          <w:lang w:eastAsia="zh-CN"/>
        </w:rPr>
        <w:t>20</w:t>
      </w:r>
      <w:r>
        <w:rPr>
          <w:rFonts w:hint="eastAsia" w:ascii="Times New Roman" w:hAnsi="Times New Roman" w:eastAsia="仿宋_GB2312" w:cs="Times New Roman"/>
          <w:sz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上述两宗地块一并整体挂牌出让，</w:t>
      </w:r>
      <w:r>
        <w:rPr>
          <w:rFonts w:hint="eastAsia" w:ascii="仿宋_GB2312" w:hAnsi="仿宋_GB2312" w:eastAsia="仿宋_GB2312" w:cs="仿宋_GB2312"/>
          <w:sz w:val="32"/>
          <w:szCs w:val="32"/>
        </w:rPr>
        <w:t>挂牌起始价为人民币</w:t>
      </w:r>
      <w:r>
        <w:rPr>
          <w:rFonts w:hint="eastAsia" w:ascii="Times New Roman" w:hAnsi="Times New Roman" w:eastAsia="仿宋_GB2312" w:cs="Times New Roman"/>
          <w:sz w:val="32"/>
          <w:lang w:val="en-US" w:eastAsia="zh-CN"/>
        </w:rPr>
        <w:t>75150</w:t>
      </w:r>
      <w:r>
        <w:rPr>
          <w:rFonts w:hint="eastAsia" w:ascii="仿宋_GB2312" w:hAnsi="仿宋_GB2312" w:eastAsia="仿宋_GB2312" w:cs="仿宋_GB2312"/>
          <w:sz w:val="32"/>
          <w:szCs w:val="32"/>
        </w:rPr>
        <w:t>万元,每次报价加价幅度为人民币</w:t>
      </w:r>
      <w:r>
        <w:rPr>
          <w:rFonts w:hint="eastAsia" w:ascii="Times New Roman" w:hAnsi="Times New Roman" w:eastAsia="仿宋_GB2312" w:cs="Times New Roman"/>
          <w:sz w:val="32"/>
          <w:lang w:val="en-US" w:eastAsia="zh-CN"/>
        </w:rPr>
        <w:t>1000</w:t>
      </w:r>
      <w:r>
        <w:rPr>
          <w:rFonts w:hint="eastAsia" w:ascii="仿宋_GB2312" w:hAnsi="仿宋_GB2312" w:eastAsia="仿宋_GB2312" w:cs="仿宋_GB2312"/>
          <w:sz w:val="32"/>
          <w:szCs w:val="32"/>
        </w:rPr>
        <w:t>万元的整数倍。</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w:t>
      </w:r>
      <w:r>
        <w:rPr>
          <w:rFonts w:hint="eastAsia" w:ascii="Times New Roman" w:hAnsi="Times New Roman" w:eastAsia="仿宋_GB2312" w:cs="Times New Roman"/>
          <w:kern w:val="2"/>
          <w:sz w:val="32"/>
          <w:szCs w:val="22"/>
          <w:lang w:val="en-US" w:eastAsia="zh-CN" w:bidi="ar-SA"/>
        </w:rPr>
        <w:t>2</w:t>
      </w:r>
      <w:r>
        <w:rPr>
          <w:rFonts w:hint="eastAsia" w:hAnsi="仿宋_GB2312" w:cs="仿宋_GB2312"/>
          <w:szCs w:val="32"/>
        </w:rPr>
        <w:t>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Cs w:val="32"/>
        </w:rPr>
        <w:t>（即竞得人必须是新公司的唯一股东）</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eastAsia" w:ascii="Times New Roman" w:hAnsi="Times New Roman" w:eastAsia="仿宋_GB2312" w:cs="Times New Roman"/>
          <w:kern w:val="2"/>
          <w:sz w:val="32"/>
          <w:szCs w:val="22"/>
          <w:lang w:val="en-US" w:eastAsia="zh-CN" w:bidi="ar-SA"/>
        </w:rPr>
        <w:t>2</w:t>
      </w:r>
      <w:r>
        <w:rPr>
          <w:rFonts w:hint="eastAsia" w:hAnsi="仿宋_GB2312" w:cs="仿宋_GB2312"/>
          <w:szCs w:val="32"/>
        </w:rPr>
        <w:t>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3"/>
        <w:keepNext w:val="0"/>
        <w:keepLines w:val="0"/>
        <w:pageBreakBefore w:val="0"/>
        <w:widowControl w:val="0"/>
        <w:kinsoku/>
        <w:wordWrap/>
        <w:overflowPunct/>
        <w:topLinePunct w:val="0"/>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（一）竞买人缴交的竞买保证金为人民币</w:t>
      </w:r>
      <w:r>
        <w:rPr>
          <w:rFonts w:hint="default" w:ascii="Times New Roman" w:hAnsi="Times New Roman" w:eastAsia="仿宋_GB2312" w:cs="Times New Roman"/>
          <w:kern w:val="2"/>
          <w:sz w:val="32"/>
          <w:szCs w:val="22"/>
          <w:lang w:val="en-US" w:eastAsia="zh-CN" w:bidi="ar-SA"/>
        </w:rPr>
        <w:t>22545</w:t>
      </w:r>
      <w:r>
        <w:rPr>
          <w:rFonts w:hint="eastAsia" w:ascii="仿宋_GB2312" w:hAnsi="仿宋_GB2312" w:eastAsia="仿宋_GB2312" w:cs="仿宋_GB2312"/>
          <w:kern w:val="0"/>
          <w:sz w:val="32"/>
          <w:szCs w:val="32"/>
          <w:lang w:val="en-US" w:eastAsia="zh-CN" w:bidi="ar-SA"/>
        </w:rPr>
        <w:t>万元或等值外币（</w:t>
      </w:r>
      <w:r>
        <w:rPr>
          <w:rFonts w:hint="eastAsia" w:ascii="Times New Roman" w:hAnsi="Times New Roman" w:eastAsia="仿宋_GB2312" w:cs="Times New Roman"/>
          <w:kern w:val="2"/>
          <w:sz w:val="32"/>
          <w:szCs w:val="22"/>
          <w:lang w:val="en-US" w:eastAsia="zh-CN" w:bidi="ar-SA"/>
        </w:rPr>
        <w:t>3474</w:t>
      </w:r>
      <w:r>
        <w:rPr>
          <w:rFonts w:hint="eastAsia" w:ascii="仿宋_GB2312" w:hAnsi="仿宋_GB2312" w:eastAsia="仿宋_GB2312" w:cs="仿宋_GB2312"/>
          <w:kern w:val="0"/>
          <w:sz w:val="32"/>
          <w:szCs w:val="32"/>
          <w:lang w:val="en-US" w:eastAsia="zh-CN" w:bidi="ar-SA"/>
        </w:rPr>
        <w:t>万美元、</w:t>
      </w:r>
      <w:r>
        <w:rPr>
          <w:rFonts w:hint="eastAsia" w:ascii="Times New Roman" w:hAnsi="Times New Roman" w:eastAsia="仿宋_GB2312" w:cs="Times New Roman"/>
          <w:kern w:val="2"/>
          <w:sz w:val="32"/>
          <w:szCs w:val="22"/>
          <w:lang w:val="en-US" w:eastAsia="zh-CN" w:bidi="ar-SA"/>
        </w:rPr>
        <w:t>26968</w:t>
      </w:r>
      <w:r>
        <w:rPr>
          <w:rFonts w:hint="eastAsia" w:ascii="仿宋_GB2312" w:hAnsi="仿宋_GB2312" w:eastAsia="仿宋_GB2312" w:cs="仿宋_GB2312"/>
          <w:kern w:val="0"/>
          <w:sz w:val="32"/>
          <w:szCs w:val="32"/>
          <w:lang w:val="en-US" w:eastAsia="zh-CN" w:bidi="ar-SA"/>
        </w:rPr>
        <w:t>万港币）。</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sz w:val="32"/>
          <w:szCs w:val="32"/>
        </w:rPr>
      </w:pP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二</w:t>
      </w:r>
      <w:r>
        <w:rPr>
          <w:rFonts w:hint="eastAsia" w:ascii="仿宋_GB2312" w:hAnsi="仿宋" w:eastAsia="仿宋_GB2312"/>
          <w:kern w:val="2"/>
          <w:sz w:val="32"/>
          <w:szCs w:val="32"/>
        </w:rPr>
        <w:t>）</w:t>
      </w:r>
      <w:r>
        <w:rPr>
          <w:rFonts w:hint="eastAsia" w:ascii="仿宋_GB2312" w:hAnsi="仿宋" w:eastAsia="仿宋_GB2312"/>
          <w:sz w:val="3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1、</w:t>
      </w:r>
      <w:r>
        <w:rPr>
          <w:rFonts w:hint="eastAsia" w:hAnsi="仿宋_GB2312" w:cs="仿宋_GB2312"/>
          <w:szCs w:val="32"/>
        </w:rPr>
        <w:t>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2、</w:t>
      </w:r>
      <w:r>
        <w:rPr>
          <w:rFonts w:hint="eastAsia" w:hAnsi="仿宋_GB2312" w:cs="仿宋_GB2312"/>
          <w:szCs w:val="32"/>
        </w:rPr>
        <w:t>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3、</w:t>
      </w:r>
      <w:r>
        <w:rPr>
          <w:rFonts w:hint="eastAsia" w:hAnsi="仿宋_GB2312" w:cs="仿宋_GB2312"/>
          <w:szCs w:val="32"/>
        </w:rPr>
        <w:t>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4、</w:t>
      </w:r>
      <w:r>
        <w:rPr>
          <w:rFonts w:hint="eastAsia" w:hAnsi="仿宋_GB2312" w:cs="仿宋_GB2312"/>
          <w:szCs w:val="32"/>
        </w:rPr>
        <w:t>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5、</w:t>
      </w:r>
      <w:r>
        <w:rPr>
          <w:rFonts w:hint="eastAsia" w:hAnsi="仿宋_GB2312" w:cs="仿宋_GB2312"/>
          <w:szCs w:val="32"/>
        </w:rPr>
        <w:t>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6、</w:t>
      </w:r>
      <w:r>
        <w:rPr>
          <w:rFonts w:hint="eastAsia" w:hAnsi="仿宋_GB2312" w:cs="仿宋_GB2312"/>
          <w:szCs w:val="32"/>
        </w:rPr>
        <w:t>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ascii="Times New Roman" w:hAnsi="Times New Roman" w:eastAsia="仿宋_GB2312" w:cs="Times New Roman"/>
          <w:kern w:val="2"/>
          <w:sz w:val="32"/>
          <w:szCs w:val="32"/>
          <w:lang w:val="en-US" w:eastAsia="zh-CN" w:bidi="ar-SA"/>
        </w:rPr>
        <w:t>7、</w:t>
      </w:r>
      <w:r>
        <w:rPr>
          <w:rFonts w:hint="eastAsia" w:hAnsi="仿宋_GB2312" w:cs="仿宋_GB2312"/>
          <w:szCs w:val="32"/>
        </w:rPr>
        <w:t>存在其它被禁止竞买土地行为的。</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ww.hzgtjy.com）。申请人可在网上挂牌交易系统下载挂牌出让公告、须知及相关交易文件，并按上述文件规定的操作程序在网上参加竞买。</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w:t>
      </w:r>
      <w:r>
        <w:rPr>
          <w:rFonts w:hint="eastAsia" w:ascii="Times New Roman" w:hAnsi="Times New Roman" w:eastAsia="仿宋_GB2312" w:cs="Times New Roman"/>
          <w:sz w:val="32"/>
          <w:lang w:eastAsia="zh-CN"/>
        </w:rPr>
        <w:t>20</w:t>
      </w:r>
      <w:r>
        <w:rPr>
          <w:rFonts w:hint="eastAsia" w:ascii="Times New Roman" w:hAnsi="Times New Roman" w:eastAsia="仿宋_GB2312" w:cs="Times New Roman"/>
          <w:sz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spacing w:line="560" w:lineRule="exact"/>
        <w:ind w:firstLine="640" w:firstLineChars="200"/>
        <w:rPr>
          <w:rFonts w:hint="default" w:ascii="仿宋_GB2312" w:hAnsi="仿宋" w:eastAsia="仿宋_GB2312" w:cs="Times New Roman"/>
          <w:kern w:val="2"/>
          <w:sz w:val="32"/>
          <w:szCs w:val="32"/>
          <w:lang w:val="en-US" w:eastAsia="zh-CN"/>
        </w:rPr>
      </w:pPr>
      <w:r>
        <w:rPr>
          <w:rFonts w:hint="eastAsia" w:ascii="仿宋_GB2312" w:hAnsi="仿宋_GB2312" w:eastAsia="仿宋_GB2312" w:cs="仿宋_GB2312"/>
          <w:sz w:val="32"/>
          <w:szCs w:val="32"/>
        </w:rPr>
        <w:t>（一）</w:t>
      </w:r>
      <w:r>
        <w:rPr>
          <w:rFonts w:eastAsia="仿宋_GB2312"/>
          <w:sz w:val="32"/>
          <w:szCs w:val="32"/>
        </w:rPr>
        <w:t>开发投资总额不少于</w:t>
      </w:r>
      <w:r>
        <w:rPr>
          <w:rFonts w:hint="eastAsia" w:ascii="Times New Roman" w:hAnsi="Times New Roman" w:eastAsia="仿宋_GB2312" w:cs="Times New Roman"/>
          <w:sz w:val="32"/>
          <w:lang w:val="en-US" w:eastAsia="zh-CN"/>
        </w:rPr>
        <w:t>117780</w:t>
      </w:r>
      <w:r>
        <w:rPr>
          <w:rFonts w:eastAsia="仿宋_GB2312"/>
          <w:sz w:val="32"/>
          <w:szCs w:val="32"/>
        </w:rPr>
        <w:t>万元（含地价,不含地价溢价部分）。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w:t>
      </w:r>
      <w:r>
        <w:rPr>
          <w:rFonts w:hint="eastAsia" w:ascii="Times New Roman" w:hAnsi="Times New Roman" w:eastAsia="仿宋_GB2312" w:cs="Times New Roman"/>
          <w:sz w:val="32"/>
          <w:lang w:eastAsia="zh-CN"/>
        </w:rPr>
        <w:t>30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建设用地规划设计条件</w:t>
      </w:r>
      <w:r>
        <w:rPr>
          <w:rFonts w:hint="eastAsia" w:hAnsi="仿宋_GB2312" w:cs="仿宋_GB2312"/>
          <w:szCs w:val="32"/>
        </w:rPr>
        <w:t>》（案卷编号：</w:t>
      </w:r>
      <w:r>
        <w:rPr>
          <w:rFonts w:hint="eastAsia" w:ascii="Times New Roman" w:hAnsi="Times New Roman" w:eastAsia="仿宋_GB2312" w:cs="Times New Roman"/>
          <w:kern w:val="2"/>
          <w:sz w:val="32"/>
          <w:szCs w:val="22"/>
          <w:lang w:val="en-US" w:eastAsia="zh-CN" w:bidi="ar-SA"/>
        </w:rPr>
        <w:t>PB202100</w:t>
      </w:r>
      <w:r>
        <w:rPr>
          <w:rFonts w:hint="eastAsia" w:ascii="Times New Roman" w:hAnsi="Times New Roman" w:cs="Times New Roman"/>
          <w:kern w:val="2"/>
          <w:sz w:val="32"/>
          <w:szCs w:val="22"/>
          <w:lang w:val="en-US" w:eastAsia="zh-CN" w:bidi="ar-SA"/>
        </w:rPr>
        <w:t>12</w:t>
      </w:r>
      <w:r>
        <w:rPr>
          <w:rFonts w:hint="eastAsia" w:hAnsi="仿宋_GB2312" w:cs="仿宋_GB2312"/>
          <w:szCs w:val="32"/>
        </w:rPr>
        <w:t>）规划控制指标要求及有关规定进行规划设计。</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hAnsi="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取得HQ02-16、HQ02-19地块土地使用权者须按规划要求承担新塘东路、新塘北路、河桥东路、新塘中路、新塘南路和新塘西路共6条约2.56公里的市政道路（包括雨水管、污水管、电力电缆沟及通信电缆沟）的建设，建成后无偿交给政府相关部门。</w:t>
      </w:r>
    </w:p>
    <w:p>
      <w:pPr>
        <w:pStyle w:val="2"/>
        <w:ind w:firstLine="640" w:firstLineChars="200"/>
        <w:rPr>
          <w:rFonts w:hint="eastAsia" w:ascii="Times New Roman" w:hAnsi="Calibri" w:eastAsia="仿宋_GB2312" w:cs="Times New Roman"/>
          <w:sz w:val="32"/>
          <w:szCs w:val="32"/>
          <w:lang w:val="en-US" w:eastAsia="zh-CN"/>
        </w:rPr>
      </w:pPr>
      <w:r>
        <w:rPr>
          <w:rFonts w:hint="eastAsia" w:ascii="Times New Roman" w:hAnsi="Calibri" w:eastAsia="仿宋_GB2312" w:cs="Times New Roman"/>
          <w:kern w:val="0"/>
          <w:sz w:val="32"/>
          <w:szCs w:val="32"/>
          <w:lang w:val="en-US" w:eastAsia="zh-CN" w:bidi="ar-SA"/>
        </w:rPr>
        <w:t>（</w:t>
      </w:r>
      <w:r>
        <w:rPr>
          <w:rFonts w:hint="eastAsia" w:eastAsia="仿宋_GB2312" w:cs="Times New Roman"/>
          <w:kern w:val="0"/>
          <w:sz w:val="32"/>
          <w:szCs w:val="32"/>
          <w:lang w:val="en-US" w:eastAsia="zh-CN" w:bidi="ar-SA"/>
        </w:rPr>
        <w:t>六</w:t>
      </w:r>
      <w:r>
        <w:rPr>
          <w:rFonts w:hint="eastAsia" w:ascii="Times New Roman" w:hAnsi="Calibri" w:eastAsia="仿宋_GB2312" w:cs="Times New Roman"/>
          <w:kern w:val="0"/>
          <w:sz w:val="32"/>
          <w:szCs w:val="32"/>
          <w:lang w:val="en-US" w:eastAsia="zh-CN" w:bidi="ar-SA"/>
        </w:rPr>
        <w:t>）</w:t>
      </w:r>
      <w:r>
        <w:rPr>
          <w:rFonts w:hint="eastAsia" w:ascii="Times New Roman" w:hAnsi="Calibri" w:eastAsia="仿宋_GB2312" w:cs="Times New Roman"/>
          <w:sz w:val="32"/>
          <w:szCs w:val="32"/>
        </w:rPr>
        <w:t>HQ02-18地块</w:t>
      </w:r>
      <w:r>
        <w:rPr>
          <w:rFonts w:hint="eastAsia" w:ascii="Times New Roman" w:hAnsi="Times New Roman" w:eastAsia="仿宋_GB2312" w:cs="Times New Roman"/>
          <w:color w:val="000000"/>
          <w:sz w:val="32"/>
          <w:szCs w:val="32"/>
          <w:lang w:val="en-US" w:eastAsia="zh-CN" w:bidi="ar-SA"/>
        </w:rPr>
        <w:t>5519</w:t>
      </w:r>
      <w:r>
        <w:rPr>
          <w:rFonts w:hint="eastAsia" w:ascii="Times New Roman" w:hAnsi="Calibri" w:eastAsia="仿宋_GB2312" w:cs="Times New Roman"/>
          <w:sz w:val="32"/>
          <w:szCs w:val="32"/>
        </w:rPr>
        <w:t>㎡幼儿园由取得HQ02-16、HQ02-19地块使用权者负责建设，并无偿移交惠城区教育局，须与HQ02-16、HQ02-19地块同步规划设计、同步建设、同步验收交付使用，如HQ02-16、HQ02-19地块分期建设，该幼儿园应纳入首期工程。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Calibri" w:eastAsia="仿宋_GB2312" w:cs="Times New Roman"/>
          <w:sz w:val="32"/>
          <w:szCs w:val="32"/>
          <w:lang w:val="en-US" w:eastAsia="zh-CN" w:bidi="ar-SA"/>
        </w:rPr>
      </w:pPr>
      <w:r>
        <w:rPr>
          <w:rFonts w:hint="eastAsia" w:ascii="Times New Roman" w:hAnsi="Calibri" w:eastAsia="仿宋_GB2312" w:cs="Times New Roman"/>
          <w:sz w:val="32"/>
          <w:szCs w:val="32"/>
          <w:lang w:val="en-US" w:eastAsia="zh-CN" w:bidi="ar-SA"/>
        </w:rPr>
        <w:t>（</w:t>
      </w:r>
      <w:r>
        <w:rPr>
          <w:rFonts w:hint="eastAsia" w:hAnsi="Calibri" w:eastAsia="仿宋_GB2312" w:cs="Times New Roman"/>
          <w:sz w:val="32"/>
          <w:szCs w:val="32"/>
          <w:lang w:val="en-US" w:eastAsia="zh-CN" w:bidi="ar-SA"/>
        </w:rPr>
        <w:t>七</w:t>
      </w:r>
      <w:r>
        <w:rPr>
          <w:rFonts w:hint="eastAsia" w:ascii="Times New Roman" w:hAnsi="Calibri" w:eastAsia="仿宋_GB2312" w:cs="Times New Roman"/>
          <w:sz w:val="32"/>
          <w:szCs w:val="32"/>
          <w:lang w:val="en-US" w:eastAsia="zh-CN" w:bidi="ar-SA"/>
        </w:rPr>
        <w:t>）HQ02-20地块九年一贯制学校由取得HQ02-16、HQ02-19地块使用权者负责建设，并无偿移交惠城区教育局。学校操场下根据规划须配建社会公共停车位不少于250个，建成后无偿交给政府相关部门。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 w:eastAsia="仿宋_GB2312" w:cs="Times New Roman"/>
          <w:kern w:val="2"/>
          <w:sz w:val="32"/>
          <w:szCs w:val="32"/>
          <w:lang w:val="en-US" w:eastAsia="zh-CN" w:bidi="ar-SA"/>
        </w:rPr>
        <w:t>取得地块土地使用权人应按照《建设用地规划设计条件》的规划要求配建相关的配套设施。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竞得人有下列行为之一的，视为违约，取消竞得人资格，</w:t>
      </w:r>
      <w:r>
        <w:rPr>
          <w:rFonts w:hint="eastAsia" w:ascii="仿宋_GB2312" w:eastAsia="仿宋_GB2312" w:cs="仿宋_GB2312"/>
          <w:sz w:val="32"/>
          <w:szCs w:val="32"/>
          <w:lang w:val="en-US" w:eastAsia="zh-CN" w:bidi="ar-SA"/>
        </w:rPr>
        <w:t>定金不予退还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sz w:val="32"/>
          <w:szCs w:val="32"/>
        </w:rPr>
        <w:t>不符合竞买资格条件的；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sz w:val="32"/>
          <w:szCs w:val="32"/>
        </w:rPr>
        <w:t>采取行贿、恶意串通等非法手段竞得的；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sz w:val="32"/>
          <w:szCs w:val="32"/>
        </w:rPr>
        <w:t>竞得人以其他非法手段竞得的；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sz w:val="32"/>
          <w:szCs w:val="32"/>
        </w:rPr>
        <w:t>竞得人逾期或拒绝签订《成交确认书》的；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sz w:val="32"/>
          <w:szCs w:val="32"/>
        </w:rPr>
        <w:t>竞得人逾期或拒绝签订《出让合同》的；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sz w:val="32"/>
          <w:szCs w:val="32"/>
        </w:rPr>
        <w:t>不按本须知规定提供有关纸质文件材料，或提供虚假文件材料、隐瞒重要事实，引起交易纠纷的；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7、</w:t>
      </w:r>
      <w:r>
        <w:rPr>
          <w:rFonts w:hint="eastAsia" w:ascii="仿宋_GB2312" w:hAnsi="仿宋_GB2312" w:eastAsia="仿宋_GB2312" w:cs="仿宋_GB2312"/>
          <w:sz w:val="32"/>
          <w:szCs w:val="32"/>
        </w:rPr>
        <w:t>构成违约责任的其他行为。</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十</w:t>
      </w:r>
      <w:r>
        <w:rPr>
          <w:rFonts w:hint="eastAsia" w:ascii="仿宋_GB2312" w:hAnsi="仿宋_GB2312" w:eastAsia="仿宋_GB2312" w:cs="仿宋_GB2312"/>
          <w:sz w:val="32"/>
          <w:lang w:val="en-US" w:eastAsia="zh-CN"/>
        </w:rPr>
        <w:t>四</w:t>
      </w:r>
      <w:r>
        <w:rPr>
          <w:rFonts w:hint="eastAsia" w:ascii="仿宋_GB2312" w:hAnsi="仿宋_GB2312" w:eastAsia="仿宋_GB2312" w:cs="仿宋_GB2312"/>
          <w:sz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联系地址：惠州市</w:t>
      </w:r>
      <w:r>
        <w:rPr>
          <w:rFonts w:hint="eastAsia" w:ascii="仿宋_GB2312" w:hAnsi="仿宋_GB2312" w:eastAsia="仿宋_GB2312" w:cs="仿宋_GB2312"/>
          <w:sz w:val="32"/>
          <w:szCs w:val="32"/>
          <w:lang w:val="en-US" w:eastAsia="zh-CN"/>
        </w:rPr>
        <w:t>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张小姐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2896269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）惠州市公共资源交易中心</w:t>
      </w:r>
    </w:p>
    <w:p>
      <w:pPr>
        <w:tabs>
          <w:tab w:val="left" w:pos="720"/>
          <w:tab w:val="left" w:pos="4680"/>
        </w:tabs>
        <w:ind w:left="4318" w:leftChars="304" w:right="-756" w:rightChars="-360" w:hanging="3680" w:hangingChars="11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rPr>
        <w:t>广东省惠州市</w:t>
      </w:r>
      <w:r>
        <w:rPr>
          <w:rFonts w:hint="eastAsia" w:ascii="仿宋_GB2312" w:hAnsi="仿宋_GB2312" w:eastAsia="仿宋_GB2312" w:cs="仿宋_GB2312"/>
          <w:sz w:val="32"/>
          <w:lang w:val="en-US" w:eastAsia="zh-CN"/>
        </w:rPr>
        <w:t>惠城区三新北路31号市民服</w:t>
      </w:r>
    </w:p>
    <w:p>
      <w:pPr>
        <w:tabs>
          <w:tab w:val="left" w:pos="720"/>
          <w:tab w:val="left" w:pos="4680"/>
        </w:tabs>
        <w:ind w:right="-756" w:rightChars="-36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务中心3号楼</w:t>
      </w:r>
    </w:p>
    <w:p>
      <w:pPr>
        <w:tabs>
          <w:tab w:val="left" w:pos="720"/>
          <w:tab w:val="left" w:pos="4680"/>
        </w:tabs>
        <w:ind w:right="-756" w:rightChars="-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spacing w:line="520" w:lineRule="exact"/>
        <w:ind w:left="487" w:leftChars="232"/>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w:t>
      </w:r>
      <w:r>
        <w:rPr>
          <w:rFonts w:hint="eastAsia" w:ascii="Times New Roman" w:hAnsi="Times New Roman" w:eastAsia="仿宋_GB2312" w:cs="Times New Roman"/>
          <w:sz w:val="32"/>
          <w:lang w:eastAsia="zh-CN"/>
        </w:rPr>
        <w:t>18-22</w:t>
      </w:r>
      <w:r>
        <w:rPr>
          <w:rFonts w:hint="eastAsia" w:ascii="仿宋_GB2312" w:hAnsi="仿宋_GB2312" w:eastAsia="仿宋_GB2312" w:cs="仿宋_GB2312"/>
          <w:color w:val="000000"/>
          <w:sz w:val="32"/>
          <w:szCs w:val="32"/>
        </w:rPr>
        <w:t>房。</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Times New Roman" w:hAnsi="Times New Roman" w:eastAsia="仿宋_GB2312" w:cs="Times New Roman"/>
          <w:sz w:val="32"/>
          <w:lang w:eastAsia="zh-CN"/>
        </w:rPr>
        <w:t>0752-2898481</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pStyle w:val="2"/>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2021年6月10日</w:t>
      </w:r>
    </w:p>
    <w:p>
      <w:pPr>
        <w:spacing w:line="360" w:lineRule="auto"/>
        <w:rPr>
          <w:rFonts w:hint="eastAsia" w:ascii="黑体" w:hAnsi="黑体" w:eastAsia="黑体"/>
          <w:sz w:val="32"/>
          <w:szCs w:val="32"/>
        </w:r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10"/>
        <w:gridCol w:w="795"/>
        <w:gridCol w:w="585"/>
        <w:gridCol w:w="840"/>
        <w:gridCol w:w="1035"/>
        <w:gridCol w:w="795"/>
        <w:gridCol w:w="645"/>
        <w:gridCol w:w="1332"/>
        <w:gridCol w:w="888"/>
        <w:gridCol w:w="852"/>
        <w:gridCol w:w="864"/>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76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81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9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8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84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6411"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77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65" w:type="dxa"/>
            <w:vMerge w:val="continue"/>
            <w:vAlign w:val="center"/>
          </w:tcPr>
          <w:p>
            <w:pPr>
              <w:adjustRightInd w:val="0"/>
              <w:snapToGrid w:val="0"/>
              <w:spacing w:line="320" w:lineRule="exact"/>
              <w:jc w:val="center"/>
              <w:rPr>
                <w:rFonts w:hint="eastAsia" w:ascii="仿宋_GB2312" w:eastAsia="仿宋_GB2312"/>
                <w:b/>
                <w:bCs/>
              </w:rPr>
            </w:pPr>
          </w:p>
        </w:tc>
        <w:tc>
          <w:tcPr>
            <w:tcW w:w="810" w:type="dxa"/>
            <w:vMerge w:val="continue"/>
            <w:vAlign w:val="center"/>
          </w:tcPr>
          <w:p>
            <w:pPr>
              <w:adjustRightInd w:val="0"/>
              <w:snapToGrid w:val="0"/>
              <w:spacing w:line="320" w:lineRule="exact"/>
              <w:jc w:val="center"/>
              <w:rPr>
                <w:rFonts w:hint="eastAsia" w:ascii="仿宋_GB2312" w:eastAsia="仿宋_GB2312"/>
                <w:b/>
                <w:bCs/>
              </w:rPr>
            </w:pPr>
          </w:p>
        </w:tc>
        <w:tc>
          <w:tcPr>
            <w:tcW w:w="795" w:type="dxa"/>
            <w:vMerge w:val="continue"/>
            <w:vAlign w:val="center"/>
          </w:tcPr>
          <w:p>
            <w:pPr>
              <w:adjustRightInd w:val="0"/>
              <w:snapToGrid w:val="0"/>
              <w:spacing w:line="320" w:lineRule="exact"/>
              <w:jc w:val="center"/>
              <w:rPr>
                <w:rFonts w:hint="eastAsia" w:ascii="仿宋_GB2312" w:eastAsia="仿宋_GB2312"/>
                <w:b/>
                <w:bCs/>
              </w:rPr>
            </w:pPr>
          </w:p>
        </w:tc>
        <w:tc>
          <w:tcPr>
            <w:tcW w:w="585" w:type="dxa"/>
            <w:vMerge w:val="continue"/>
            <w:vAlign w:val="center"/>
          </w:tcPr>
          <w:p>
            <w:pPr>
              <w:adjustRightInd w:val="0"/>
              <w:snapToGrid w:val="0"/>
              <w:spacing w:line="320" w:lineRule="exact"/>
              <w:jc w:val="center"/>
              <w:rPr>
                <w:rFonts w:hint="eastAsia" w:ascii="仿宋_GB2312" w:eastAsia="仿宋_GB2312"/>
                <w:b/>
                <w:bCs/>
              </w:rPr>
            </w:pPr>
          </w:p>
        </w:tc>
        <w:tc>
          <w:tcPr>
            <w:tcW w:w="840" w:type="dxa"/>
            <w:vMerge w:val="continue"/>
            <w:vAlign w:val="center"/>
          </w:tcPr>
          <w:p>
            <w:pPr>
              <w:adjustRightInd w:val="0"/>
              <w:snapToGrid w:val="0"/>
              <w:spacing w:line="320" w:lineRule="exact"/>
              <w:jc w:val="center"/>
              <w:rPr>
                <w:rFonts w:hint="eastAsia" w:ascii="仿宋_GB2312" w:eastAsia="仿宋_GB2312"/>
                <w:b/>
                <w:bCs/>
              </w:rPr>
            </w:pPr>
          </w:p>
        </w:tc>
        <w:tc>
          <w:tcPr>
            <w:tcW w:w="103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795"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4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332"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888"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852"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864"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774"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6" w:hRule="atLeast"/>
          <w:jc w:val="center"/>
        </w:trPr>
        <w:tc>
          <w:tcPr>
            <w:tcW w:w="765" w:type="dxa"/>
            <w:vMerge w:val="restart"/>
            <w:tcMar>
              <w:left w:w="0" w:type="dxa"/>
              <w:right w:w="0" w:type="dxa"/>
            </w:tcMar>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GP2021</w:t>
            </w:r>
          </w:p>
          <w:p>
            <w:pPr>
              <w:jc w:val="center"/>
              <w:rPr>
                <w:rFonts w:hint="default" w:ascii="仿宋_GB2312" w:eastAsia="仿宋_GB2312"/>
                <w:szCs w:val="21"/>
                <w:lang w:val="en-US" w:eastAsia="zh-CN"/>
              </w:rPr>
            </w:pPr>
            <w:r>
              <w:rPr>
                <w:rFonts w:hint="eastAsia" w:ascii="仿宋_GB2312" w:eastAsia="仿宋_GB2312"/>
                <w:szCs w:val="21"/>
                <w:lang w:val="en-US" w:eastAsia="zh-CN"/>
              </w:rPr>
              <w:t>-16</w:t>
            </w:r>
          </w:p>
        </w:tc>
        <w:tc>
          <w:tcPr>
            <w:tcW w:w="810" w:type="dxa"/>
            <w:vMerge w:val="restart"/>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惠城区南四环沿线科教片区HQ02-16、HQ02-19地块</w:t>
            </w:r>
          </w:p>
        </w:tc>
        <w:tc>
          <w:tcPr>
            <w:tcW w:w="795" w:type="dxa"/>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HQ02-16</w:t>
            </w:r>
          </w:p>
        </w:tc>
        <w:tc>
          <w:tcPr>
            <w:tcW w:w="585" w:type="dxa"/>
            <w:vMerge w:val="restart"/>
            <w:tcMar>
              <w:left w:w="0" w:type="dxa"/>
              <w:right w:w="0" w:type="dxa"/>
            </w:tcMar>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二类城镇住宅用地、商服用地</w:t>
            </w:r>
          </w:p>
        </w:tc>
        <w:tc>
          <w:tcPr>
            <w:tcW w:w="840"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26378.3</w:t>
            </w:r>
          </w:p>
        </w:tc>
        <w:tc>
          <w:tcPr>
            <w:tcW w:w="1035" w:type="dxa"/>
            <w:vAlign w:val="center"/>
          </w:tcPr>
          <w:p>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22532.07</w:t>
            </w:r>
          </w:p>
        </w:tc>
        <w:tc>
          <w:tcPr>
            <w:tcW w:w="795" w:type="dxa"/>
            <w:vMerge w:val="restart"/>
            <w:vAlign w:val="center"/>
          </w:tcPr>
          <w:p>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≤25（其中住宅建筑净密度</w:t>
            </w:r>
          </w:p>
          <w:p>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w:t>
            </w:r>
          </w:p>
        </w:tc>
        <w:tc>
          <w:tcPr>
            <w:tcW w:w="645" w:type="dxa"/>
            <w:vMerge w:val="restart"/>
            <w:vAlign w:val="center"/>
          </w:tcPr>
          <w:p>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≤3.0</w:t>
            </w:r>
          </w:p>
        </w:tc>
        <w:tc>
          <w:tcPr>
            <w:tcW w:w="1332" w:type="dxa"/>
            <w:vAlign w:val="center"/>
          </w:tcPr>
          <w:p>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≤79134</w:t>
            </w:r>
          </w:p>
        </w:tc>
        <w:tc>
          <w:tcPr>
            <w:tcW w:w="888" w:type="dxa"/>
            <w:vMerge w:val="restart"/>
            <w:vAlign w:val="center"/>
          </w:tcPr>
          <w:p>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每100平方米计容积率建筑面积</w:t>
            </w:r>
            <w:r>
              <w:rPr>
                <w:rFonts w:hint="default" w:ascii="Times New Roman" w:hAnsi="Times New Roman" w:eastAsia="仿宋_GB2312" w:cs="Times New Roman"/>
                <w:sz w:val="21"/>
                <w:szCs w:val="21"/>
                <w:lang w:val="en-US" w:eastAsia="zh-CN"/>
              </w:rPr>
              <w:t>≥</w:t>
            </w:r>
            <w:r>
              <w:rPr>
                <w:rFonts w:hint="eastAsia" w:ascii="Times New Roman" w:hAnsi="Times New Roman" w:eastAsia="仿宋_GB2312" w:cs="Times New Roman"/>
                <w:sz w:val="21"/>
                <w:szCs w:val="21"/>
                <w:lang w:val="en-US" w:eastAsia="zh-CN"/>
              </w:rPr>
              <w:t>1个</w:t>
            </w:r>
          </w:p>
        </w:tc>
        <w:tc>
          <w:tcPr>
            <w:tcW w:w="852" w:type="dxa"/>
            <w:vMerge w:val="restart"/>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w:t>
            </w:r>
            <w:r>
              <w:rPr>
                <w:rFonts w:hint="eastAsia" w:ascii="Times New Roman" w:hAnsi="Times New Roman" w:eastAsia="仿宋_GB2312" w:cs="Times New Roman"/>
                <w:sz w:val="21"/>
                <w:szCs w:val="21"/>
                <w:lang w:val="en-US" w:eastAsia="zh-CN"/>
              </w:rPr>
              <w:t>35</w:t>
            </w:r>
          </w:p>
        </w:tc>
        <w:tc>
          <w:tcPr>
            <w:tcW w:w="864" w:type="dxa"/>
            <w:vMerge w:val="restart"/>
            <w:vAlign w:val="center"/>
          </w:tcPr>
          <w:p>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住宅、商业、及配套设施</w:t>
            </w:r>
          </w:p>
        </w:tc>
        <w:tc>
          <w:tcPr>
            <w:tcW w:w="774" w:type="dxa"/>
            <w:vMerge w:val="restart"/>
            <w:vAlign w:val="center"/>
          </w:tcPr>
          <w:p>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住宅用地70年、商服用地40年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8" w:hRule="atLeast"/>
          <w:jc w:val="center"/>
        </w:trPr>
        <w:tc>
          <w:tcPr>
            <w:tcW w:w="765" w:type="dxa"/>
            <w:vMerge w:val="continue"/>
            <w:tcMar>
              <w:left w:w="0" w:type="dxa"/>
              <w:right w:w="0" w:type="dxa"/>
            </w:tcMar>
            <w:vAlign w:val="center"/>
          </w:tcPr>
          <w:p>
            <w:pPr>
              <w:jc w:val="center"/>
              <w:rPr>
                <w:rFonts w:hint="eastAsia" w:ascii="仿宋_GB2312" w:eastAsia="仿宋_GB2312"/>
                <w:szCs w:val="21"/>
                <w:lang w:val="en-US" w:eastAsia="zh-CN"/>
              </w:rPr>
            </w:pPr>
          </w:p>
        </w:tc>
        <w:tc>
          <w:tcPr>
            <w:tcW w:w="810" w:type="dxa"/>
            <w:vMerge w:val="continue"/>
            <w:vAlign w:val="center"/>
          </w:tcPr>
          <w:p>
            <w:pPr>
              <w:jc w:val="center"/>
              <w:rPr>
                <w:rFonts w:hint="eastAsia" w:ascii="仿宋_GB2312" w:eastAsia="仿宋_GB2312"/>
                <w:szCs w:val="21"/>
                <w:lang w:val="en-US" w:eastAsia="zh-CN"/>
              </w:rPr>
            </w:pPr>
          </w:p>
        </w:tc>
        <w:tc>
          <w:tcPr>
            <w:tcW w:w="795"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HQ02-19</w:t>
            </w:r>
          </w:p>
        </w:tc>
        <w:tc>
          <w:tcPr>
            <w:tcW w:w="585" w:type="dxa"/>
            <w:vMerge w:val="continue"/>
            <w:tcMar>
              <w:left w:w="0" w:type="dxa"/>
              <w:right w:w="0" w:type="dxa"/>
            </w:tcMar>
            <w:vAlign w:val="center"/>
          </w:tcPr>
          <w:p>
            <w:pPr>
              <w:jc w:val="center"/>
              <w:rPr>
                <w:rFonts w:hint="eastAsia" w:ascii="仿宋_GB2312" w:eastAsia="仿宋_GB2312"/>
                <w:szCs w:val="21"/>
                <w:lang w:val="en-US" w:eastAsia="zh-CN"/>
              </w:rPr>
            </w:pPr>
          </w:p>
        </w:tc>
        <w:tc>
          <w:tcPr>
            <w:tcW w:w="840" w:type="dxa"/>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20983.08</w:t>
            </w:r>
          </w:p>
        </w:tc>
        <w:tc>
          <w:tcPr>
            <w:tcW w:w="1035" w:type="dxa"/>
            <w:vAlign w:val="center"/>
          </w:tcPr>
          <w:p>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kern w:val="2"/>
                <w:sz w:val="21"/>
                <w:szCs w:val="21"/>
                <w:lang w:val="en-US" w:eastAsia="zh-CN"/>
              </w:rPr>
              <w:t>17893.39</w:t>
            </w:r>
          </w:p>
        </w:tc>
        <w:tc>
          <w:tcPr>
            <w:tcW w:w="795" w:type="dxa"/>
            <w:vMerge w:val="continue"/>
            <w:vAlign w:val="center"/>
          </w:tcPr>
          <w:p>
            <w:pPr>
              <w:jc w:val="center"/>
              <w:rPr>
                <w:rFonts w:hint="default" w:ascii="Times New Roman" w:hAnsi="Times New Roman" w:eastAsia="仿宋_GB2312" w:cs="Times New Roman"/>
                <w:kern w:val="2"/>
                <w:sz w:val="21"/>
                <w:szCs w:val="21"/>
                <w:lang w:val="en-US" w:eastAsia="zh-CN"/>
              </w:rPr>
            </w:pPr>
          </w:p>
        </w:tc>
        <w:tc>
          <w:tcPr>
            <w:tcW w:w="645" w:type="dxa"/>
            <w:vMerge w:val="continue"/>
            <w:vAlign w:val="center"/>
          </w:tcPr>
          <w:p>
            <w:pPr>
              <w:jc w:val="center"/>
              <w:rPr>
                <w:rFonts w:hint="eastAsia" w:ascii="Times New Roman" w:hAnsi="Times New Roman" w:eastAsia="仿宋_GB2312" w:cs="Times New Roman"/>
                <w:sz w:val="21"/>
                <w:szCs w:val="21"/>
                <w:lang w:val="en-US" w:eastAsia="zh-CN"/>
              </w:rPr>
            </w:pPr>
          </w:p>
        </w:tc>
        <w:tc>
          <w:tcPr>
            <w:tcW w:w="1332" w:type="dxa"/>
            <w:vAlign w:val="center"/>
          </w:tcPr>
          <w:p>
            <w:pPr>
              <w:adjustRightInd w:val="0"/>
              <w:snapToGrid w:val="0"/>
              <w:spacing w:line="400" w:lineRule="exact"/>
              <w:jc w:val="center"/>
              <w:rPr>
                <w:rFonts w:hint="default" w:ascii="仿宋_GB2312" w:hAnsi="Times New Roman" w:eastAsia="仿宋_GB2312"/>
                <w:szCs w:val="21"/>
                <w:lang w:val="en-US"/>
              </w:rPr>
            </w:pPr>
            <w:r>
              <w:rPr>
                <w:rFonts w:hint="eastAsia" w:ascii="Times New Roman" w:hAnsi="Times New Roman" w:eastAsia="仿宋_GB2312" w:cs="Times New Roman"/>
                <w:sz w:val="21"/>
                <w:szCs w:val="21"/>
                <w:lang w:val="en-US" w:eastAsia="zh-CN"/>
              </w:rPr>
              <w:t>≤62949</w:t>
            </w:r>
          </w:p>
        </w:tc>
        <w:tc>
          <w:tcPr>
            <w:tcW w:w="888" w:type="dxa"/>
            <w:vMerge w:val="continue"/>
            <w:vAlign w:val="center"/>
          </w:tcPr>
          <w:p>
            <w:pPr>
              <w:adjustRightInd w:val="0"/>
              <w:snapToGrid w:val="0"/>
              <w:spacing w:line="400" w:lineRule="exact"/>
              <w:jc w:val="center"/>
              <w:rPr>
                <w:rFonts w:hint="eastAsia" w:ascii="仿宋_GB2312" w:hAnsi="Times New Roman" w:eastAsia="仿宋_GB2312"/>
                <w:szCs w:val="21"/>
                <w:lang w:val="en-US" w:eastAsia="zh-CN"/>
              </w:rPr>
            </w:pPr>
          </w:p>
        </w:tc>
        <w:tc>
          <w:tcPr>
            <w:tcW w:w="852" w:type="dxa"/>
            <w:vMerge w:val="continue"/>
            <w:vAlign w:val="center"/>
          </w:tcPr>
          <w:p>
            <w:pPr>
              <w:adjustRightInd w:val="0"/>
              <w:snapToGrid w:val="0"/>
              <w:spacing w:line="400" w:lineRule="exact"/>
              <w:jc w:val="center"/>
              <w:rPr>
                <w:rFonts w:ascii="Arial" w:hAnsi="Arial" w:eastAsia="仿宋_GB2312" w:cs="Arial"/>
                <w:szCs w:val="21"/>
              </w:rPr>
            </w:pPr>
          </w:p>
        </w:tc>
        <w:tc>
          <w:tcPr>
            <w:tcW w:w="864"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c>
          <w:tcPr>
            <w:tcW w:w="774" w:type="dxa"/>
            <w:vMerge w:val="continue"/>
            <w:vAlign w:val="center"/>
          </w:tcPr>
          <w:p>
            <w:pPr>
              <w:ind w:leftChars="-51" w:right="-118" w:rightChars="-56" w:hanging="107" w:hangingChars="51"/>
              <w:jc w:val="left"/>
              <w:rPr>
                <w:rFonts w:hint="eastAsia" w:ascii="仿宋_GB2312" w:hAnsi="仿宋_GB2312" w:eastAsia="仿宋_GB2312"/>
                <w:color w:val="000000"/>
                <w:szCs w:val="21"/>
              </w:rPr>
            </w:pPr>
          </w:p>
        </w:tc>
      </w:tr>
    </w:tbl>
    <w:p>
      <w:pPr>
        <w:pStyle w:val="4"/>
        <w:wordWrap w:val="0"/>
        <w:jc w:val="both"/>
        <w:rPr>
          <w:rFonts w:hAnsi="宋体"/>
        </w:rPr>
      </w:pPr>
      <w:r>
        <w:rPr>
          <w:rFonts w:ascii="黑体" w:hAnsi="宋体" w:eastAsia="黑体" w:cs="黑体"/>
          <w:sz w:val="36"/>
          <w:szCs w:val="36"/>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KY/denPAAAABQEAAA8AAAAAAAAAAQAgAAAAIgAAAGRycy9kb3ducmV2&#10;LnhtbFBLAQIUABQAAAAIAIdO4kBlEj5ckwEAABoDAAAOAAAAAAAAAAEAIAAAAB4BAABkcnMvZTJv&#10;RG9jLnhtbFBLBQYAAAAABgAGAFkBAAAjBQAAAAA=&#10;">
                <v:fill on="f" focussize="0,0"/>
                <v:stroke on="f"/>
                <v:imagedata o:title=""/>
                <o:lock v:ext="edit" aspectratio="f"/>
              </v:shape>
            </w:pict>
          </mc:Fallback>
        </mc:AlternateContent>
      </w:r>
    </w:p>
    <w:p>
      <w:pPr>
        <w:pStyle w:val="2"/>
        <w:ind w:firstLine="5120" w:firstLineChars="1600"/>
        <w:rPr>
          <w:rFonts w:hint="eastAsia" w:ascii="仿宋_GB2312" w:hAnsi="仿宋_GB2312" w:eastAsia="仿宋_GB2312" w:cs="仿宋_GB2312"/>
          <w:sz w:val="32"/>
          <w:szCs w:val="32"/>
          <w:lang w:val="en-US" w:eastAsia="zh-CN"/>
        </w:rPr>
        <w:sectPr>
          <w:footerReference r:id="rId3" w:type="default"/>
          <w:pgSz w:w="11906" w:h="16838"/>
          <w:pgMar w:top="1440" w:right="1440" w:bottom="1440" w:left="1440" w:header="851" w:footer="992" w:gutter="0"/>
          <w:pgNumType w:fmt="numberInDash" w:start="1"/>
          <w:cols w:space="720" w:num="1"/>
          <w:docGrid w:type="lines" w:linePitch="312" w:charSpace="0"/>
        </w:sectPr>
      </w:pPr>
      <w:bookmarkStart w:id="0" w:name="_GoBack"/>
      <w:bookmarkEnd w:id="0"/>
    </w:p>
    <w:p>
      <w:pPr>
        <w:spacing w:line="360" w:lineRule="auto"/>
        <w:rPr>
          <w:rFonts w:hint="eastAsia" w:ascii="仿宋_GB2312" w:eastAsia="仿宋_GB2312"/>
          <w:sz w:val="32"/>
          <w:szCs w:val="32"/>
        </w:rPr>
      </w:pPr>
    </w:p>
    <w:p>
      <w:pPr>
        <w:pStyle w:val="2"/>
        <w:rPr>
          <w:rFonts w:hint="eastAsia"/>
        </w:rPr>
      </w:pPr>
    </w:p>
    <w:p>
      <w:pPr>
        <w:tabs>
          <w:tab w:val="left" w:pos="11340"/>
        </w:tabs>
        <w:spacing w:line="60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- 9 -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4154D"/>
    <w:rsid w:val="05A6515D"/>
    <w:rsid w:val="06D14CD4"/>
    <w:rsid w:val="0F602C5E"/>
    <w:rsid w:val="11254A3E"/>
    <w:rsid w:val="14E0137A"/>
    <w:rsid w:val="1C8866E9"/>
    <w:rsid w:val="1F7F6026"/>
    <w:rsid w:val="2564010B"/>
    <w:rsid w:val="2CB04FE3"/>
    <w:rsid w:val="2EAA0E6E"/>
    <w:rsid w:val="314D060F"/>
    <w:rsid w:val="3600768B"/>
    <w:rsid w:val="37A05A79"/>
    <w:rsid w:val="3D3F0F8B"/>
    <w:rsid w:val="41C31ECD"/>
    <w:rsid w:val="481E595F"/>
    <w:rsid w:val="48460B27"/>
    <w:rsid w:val="51D50FD0"/>
    <w:rsid w:val="535D7193"/>
    <w:rsid w:val="560A1625"/>
    <w:rsid w:val="56B6776A"/>
    <w:rsid w:val="5723503D"/>
    <w:rsid w:val="5BB4154D"/>
    <w:rsid w:val="6E272E7A"/>
    <w:rsid w:val="75D00E99"/>
    <w:rsid w:val="76EA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2021-05-31T07:50:00Z</dcterms:created>
  <dc:creator>黄春枚</dc:creator>
  <cp:lastModifiedBy>黄春枚</cp:lastModifiedBy>
  <cp:lastPrinted>2021-06-10T07:18:03Z</cp:lastPrinted>
  <dcterms:modified xsi:type="dcterms:W3CDTF">2021-06-10T07:25:18Z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