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004</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6330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1899</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75000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布局8栋厂房、2栋宿舍楼，计算指标用地面积63046.4平方米，建筑层数地上最高14层（建筑高度最高74.8米，使用功能为厂房），计容积率总建筑面积167564.29平方米（其中行政办公及生活服务设施建筑面积20414平方米，占比12.18%），容积率2.66 ，建筑密度 37.35%（其中行政办公设施用地面积3274平方米，占比5.19%），绿地率15%，停车位498个（其中地上410个、地下 88个），各项指标满足《建设用地规划设计条件》（PB20200141)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投资强度不低于</w:t>
      </w:r>
      <w:r>
        <w:rPr>
          <w:rFonts w:hint="eastAsia" w:ascii="仿宋_GB2312" w:hAnsi="仿宋_GB2312" w:eastAsia="仿宋_GB2312" w:cs="仿宋_GB2312"/>
          <w:color w:val="auto"/>
          <w:sz w:val="32"/>
          <w:szCs w:val="32"/>
          <w:lang w:val="en-US" w:eastAsia="zh-CN"/>
        </w:rPr>
        <w:t>12500元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，土地产出率（营业收入）不低于</w:t>
      </w:r>
      <w:r>
        <w:rPr>
          <w:rFonts w:hint="eastAsia" w:ascii="仿宋_GB2312" w:hAnsi="仿宋_GB2312" w:eastAsia="仿宋_GB2312" w:cs="仿宋_GB2312"/>
          <w:color w:val="auto"/>
          <w:sz w:val="32"/>
          <w:szCs w:val="32"/>
          <w:lang w:val="en-US" w:eastAsia="zh-CN"/>
        </w:rPr>
        <w:t>23500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/年，税收产出不低于</w:t>
      </w:r>
      <w:r>
        <w:rPr>
          <w:rFonts w:hint="eastAsia" w:ascii="仿宋_GB2312" w:hAnsi="仿宋_GB2312" w:eastAsia="仿宋_GB2312" w:cs="仿宋_GB2312"/>
          <w:color w:val="auto"/>
          <w:sz w:val="32"/>
          <w:szCs w:val="32"/>
          <w:lang w:val="en-US" w:eastAsia="zh-CN"/>
        </w:rPr>
        <w:t>1100</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/年。其中，土地产出率及税收产出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color w:val="auto"/>
          <w:sz w:val="32"/>
          <w:szCs w:val="32"/>
          <w:lang w:val="en-US" w:eastAsia="zh-CN"/>
        </w:rPr>
        <w:t>2014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惠城区三新北路31号市民服务中心3号楼一楼108室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GP2021-4</w:t>
            </w:r>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惠州市惠城区水口荔枝城片JD-141-05地块</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JD-141-05</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45478.21</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63046</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113483-220661</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厂房、仓库每100平方米计容积率建筑面积≥0.2个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C3FD8"/>
    <w:rsid w:val="07386886"/>
    <w:rsid w:val="082B1937"/>
    <w:rsid w:val="0D167AC3"/>
    <w:rsid w:val="0DF23899"/>
    <w:rsid w:val="0E7A65F6"/>
    <w:rsid w:val="101D3BC2"/>
    <w:rsid w:val="10BD4DFA"/>
    <w:rsid w:val="137618AF"/>
    <w:rsid w:val="13D50F1B"/>
    <w:rsid w:val="167673A1"/>
    <w:rsid w:val="17AA0480"/>
    <w:rsid w:val="188D227F"/>
    <w:rsid w:val="1A0B2C56"/>
    <w:rsid w:val="1AA5305E"/>
    <w:rsid w:val="1ADB0E54"/>
    <w:rsid w:val="1C5904D7"/>
    <w:rsid w:val="1DE30B94"/>
    <w:rsid w:val="1E862B6D"/>
    <w:rsid w:val="1F7C2358"/>
    <w:rsid w:val="20ED2229"/>
    <w:rsid w:val="22890C8D"/>
    <w:rsid w:val="28774868"/>
    <w:rsid w:val="2A6B42FA"/>
    <w:rsid w:val="2A870225"/>
    <w:rsid w:val="2B5D4967"/>
    <w:rsid w:val="304C7078"/>
    <w:rsid w:val="31CE6D72"/>
    <w:rsid w:val="35335FA2"/>
    <w:rsid w:val="36061489"/>
    <w:rsid w:val="37607760"/>
    <w:rsid w:val="380440B7"/>
    <w:rsid w:val="381E07C6"/>
    <w:rsid w:val="38BD14D1"/>
    <w:rsid w:val="3C13026D"/>
    <w:rsid w:val="3DDC60B5"/>
    <w:rsid w:val="40231E47"/>
    <w:rsid w:val="40363F40"/>
    <w:rsid w:val="411B39E1"/>
    <w:rsid w:val="42CE6157"/>
    <w:rsid w:val="43706132"/>
    <w:rsid w:val="45C047BF"/>
    <w:rsid w:val="4A1228DB"/>
    <w:rsid w:val="4A1B1ECC"/>
    <w:rsid w:val="4AE74DD0"/>
    <w:rsid w:val="4C2E14D5"/>
    <w:rsid w:val="4F861E18"/>
    <w:rsid w:val="538C505C"/>
    <w:rsid w:val="565101CA"/>
    <w:rsid w:val="567F481B"/>
    <w:rsid w:val="57A3234F"/>
    <w:rsid w:val="57C844D5"/>
    <w:rsid w:val="596A13D8"/>
    <w:rsid w:val="5A893EB0"/>
    <w:rsid w:val="5AF873B7"/>
    <w:rsid w:val="5D241B5A"/>
    <w:rsid w:val="5E3B0440"/>
    <w:rsid w:val="5F512E90"/>
    <w:rsid w:val="606821F3"/>
    <w:rsid w:val="64D925C4"/>
    <w:rsid w:val="68527CA2"/>
    <w:rsid w:val="692A6240"/>
    <w:rsid w:val="6EB83079"/>
    <w:rsid w:val="6F4B3B48"/>
    <w:rsid w:val="73BE7EBD"/>
    <w:rsid w:val="748840AA"/>
    <w:rsid w:val="761352C3"/>
    <w:rsid w:val="77DD303C"/>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袁秀玲</cp:lastModifiedBy>
  <cp:lastPrinted>2021-01-22T01:59:00Z</cp:lastPrinted>
  <dcterms:modified xsi:type="dcterms:W3CDTF">2021-01-25T01:13:10Z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