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highlight w:val="none"/>
        </w:rPr>
      </w:pPr>
      <w:r>
        <w:rPr>
          <w:rFonts w:hint="eastAsia" w:ascii="方正小标宋_GBK" w:hAnsi="华文中宋" w:eastAsia="方正小标宋_GBK"/>
          <w:b/>
          <w:bCs/>
          <w:spacing w:val="3"/>
          <w:sz w:val="44"/>
          <w:szCs w:val="44"/>
          <w:highlight w:val="none"/>
        </w:rPr>
        <w:t>惠州市国有建设用地使用权</w:t>
      </w:r>
    </w:p>
    <w:p>
      <w:pPr>
        <w:tabs>
          <w:tab w:val="left" w:pos="11340"/>
        </w:tabs>
        <w:spacing w:line="600" w:lineRule="exact"/>
        <w:jc w:val="center"/>
        <w:rPr>
          <w:rFonts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网上挂牌</w:t>
      </w:r>
      <w:r>
        <w:rPr>
          <w:rFonts w:hint="eastAsia" w:ascii="方正小标宋_GBK" w:hAnsi="华文中宋" w:eastAsia="方正小标宋_GBK"/>
          <w:b/>
          <w:bCs/>
          <w:sz w:val="44"/>
          <w:szCs w:val="44"/>
          <w:highlight w:val="none"/>
        </w:rPr>
        <w:t>出让须知</w:t>
      </w:r>
    </w:p>
    <w:p>
      <w:pPr>
        <w:spacing w:line="60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025</w:t>
      </w:r>
      <w:r>
        <w:rPr>
          <w:rFonts w:hint="eastAsia" w:ascii="仿宋_GB2312" w:hAnsi="仿宋_GB2312" w:eastAsia="仿宋_GB2312" w:cs="仿宋_GB2312"/>
          <w:sz w:val="32"/>
          <w:szCs w:val="32"/>
          <w:highlight w:val="none"/>
        </w:rPr>
        <w:t>号</w:t>
      </w:r>
    </w:p>
    <w:p>
      <w:pPr>
        <w:rPr>
          <w:rFonts w:ascii="仿宋_GB2312" w:hAnsi="仿宋_GB2312" w:eastAsia="仿宋_GB2312" w:cs="仿宋_GB2312"/>
          <w:sz w:val="32"/>
          <w:szCs w:val="32"/>
          <w:highlight w:val="none"/>
        </w:rPr>
      </w:pP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highlight w:val="none"/>
          <w:lang w:val="en-US" w:eastAsia="zh-CN"/>
        </w:rPr>
        <w:t>惠城区</w:t>
      </w:r>
      <w:r>
        <w:rPr>
          <w:rFonts w:hint="eastAsia" w:ascii="仿宋_GB2312" w:hAnsi="仿宋_GB2312" w:eastAsia="仿宋_GB2312" w:cs="仿宋_GB2312"/>
          <w:sz w:val="32"/>
          <w:szCs w:val="32"/>
          <w:highlight w:val="none"/>
        </w:rPr>
        <w:t>人民政府批准，受惠州市</w:t>
      </w:r>
      <w:r>
        <w:rPr>
          <w:rFonts w:hint="eastAsia" w:ascii="仿宋_GB2312" w:hAnsi="仿宋_GB2312" w:eastAsia="仿宋_GB2312" w:cs="仿宋_GB2312"/>
          <w:sz w:val="32"/>
          <w:szCs w:val="32"/>
          <w:highlight w:val="none"/>
          <w:lang w:val="en-US" w:eastAsia="zh-CN"/>
        </w:rPr>
        <w:t>惠城区</w:t>
      </w:r>
      <w:r>
        <w:rPr>
          <w:rFonts w:hint="eastAsia" w:ascii="仿宋_GB2312" w:hAnsi="仿宋_GB2312" w:eastAsia="仿宋_GB2312" w:cs="仿宋_GB2312"/>
          <w:sz w:val="32"/>
          <w:szCs w:val="32"/>
          <w:highlight w:val="none"/>
        </w:rPr>
        <w:t>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一、本次国有建设用地使用权网上挂牌出让的出让人为惠州市</w:t>
      </w:r>
      <w:r>
        <w:rPr>
          <w:rFonts w:hint="eastAsia" w:ascii="仿宋_GB2312" w:hAnsi="仿宋_GB2312" w:eastAsia="仿宋_GB2312" w:cs="仿宋_GB2312"/>
          <w:b/>
          <w:bCs/>
          <w:sz w:val="32"/>
          <w:szCs w:val="32"/>
          <w:highlight w:val="none"/>
          <w:lang w:val="en-US" w:eastAsia="zh-CN"/>
        </w:rPr>
        <w:t>惠城区</w:t>
      </w:r>
      <w:r>
        <w:rPr>
          <w:rFonts w:hint="eastAsia" w:ascii="仿宋_GB2312" w:hAnsi="仿宋_GB2312" w:eastAsia="仿宋_GB2312" w:cs="仿宋_GB2312"/>
          <w:b/>
          <w:bCs/>
          <w:sz w:val="32"/>
          <w:szCs w:val="32"/>
          <w:highlight w:val="none"/>
        </w:rPr>
        <w:t>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三、出让地块的基本情况及规划指标要求</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（一）挂牌地块编号：GP20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）地块位置：惠城区高新科技产业园鹿岗片区LG01-01-03地块;</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（三）地块编号：LG01-01-03;</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（四）地块范围：平面界址点以宗地图为准，宗地竖向界限以《建设用地规划设计条件》（PB20210059号）规定为准；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宗地使用权面积为：54390.01平方米；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（六）计算指标用地面积为：67823平方米；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（七）计容积率建筑面积：108517-169557（其中配套设施建筑面积≥100）；</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（八）容积率为：1.6-2.5；</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（九）建筑密度为：≥30%；</w:t>
      </w:r>
    </w:p>
    <w:p>
      <w:pPr>
        <w:tabs>
          <w:tab w:val="left" w:pos="3388"/>
        </w:tabs>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十）机动车停车位配建标准：行政办公及生活服务设施每100平方米计容积率建筑面积≥1个，厂房每100平方米计容积率建筑面积≥0.3个，停车场须按不低于总停车位的10%的比例配置充电设施；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）土地用途为：</w:t>
      </w:r>
      <w:r>
        <w:rPr>
          <w:rFonts w:hint="eastAsia" w:ascii="仿宋_GB2312" w:hAnsi="仿宋_GB2312" w:eastAsia="仿宋_GB2312" w:cs="仿宋_GB2312"/>
          <w:sz w:val="32"/>
          <w:szCs w:val="32"/>
          <w:highlight w:val="none"/>
          <w:lang w:val="en-US" w:eastAsia="zh-CN"/>
        </w:rPr>
        <w:t>一类工业用地</w:t>
      </w:r>
      <w:r>
        <w:rPr>
          <w:rFonts w:hint="eastAsia" w:ascii="仿宋_GB2312" w:hAnsi="仿宋_GB2312" w:eastAsia="仿宋_GB2312" w:cs="仿宋_GB2312"/>
          <w:sz w:val="32"/>
          <w:szCs w:val="32"/>
          <w:highlight w:val="none"/>
        </w:rPr>
        <w:t>；</w:t>
      </w:r>
    </w:p>
    <w:p>
      <w:pPr>
        <w:tabs>
          <w:tab w:val="left" w:pos="3388"/>
        </w:tabs>
        <w:spacing w:line="560" w:lineRule="exact"/>
        <w:ind w:left="0" w:leftChars="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）土地使用权出让年</w:t>
      </w:r>
      <w:r>
        <w:rPr>
          <w:rFonts w:hint="eastAsia" w:ascii="仿宋_GB2312" w:hAnsi="仿宋_GB2312" w:eastAsia="仿宋_GB2312" w:cs="仿宋_GB2312"/>
          <w:sz w:val="32"/>
          <w:szCs w:val="32"/>
          <w:highlight w:val="none"/>
          <w:lang w:val="en-US" w:eastAsia="zh-CN"/>
        </w:rPr>
        <w:t>限</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50年</w:t>
      </w:r>
      <w:r>
        <w:rPr>
          <w:rFonts w:hint="eastAsia" w:ascii="仿宋_GB2312" w:hAnsi="仿宋_GB2312" w:eastAsia="仿宋_GB2312" w:cs="仿宋_GB2312"/>
          <w:sz w:val="32"/>
          <w:szCs w:val="32"/>
          <w:highlight w:val="none"/>
        </w:rPr>
        <w:t>；</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产业类型</w:t>
      </w:r>
      <w:r>
        <w:rPr>
          <w:rFonts w:hint="eastAsia" w:ascii="仿宋_GB2312" w:hAnsi="仿宋_GB2312" w:eastAsia="仿宋_GB2312" w:cs="仿宋_GB2312"/>
          <w:sz w:val="32"/>
          <w:szCs w:val="32"/>
          <w:highlight w:val="none"/>
        </w:rPr>
        <w:t>：专业产业园区运营、科技推广和应用服务业用地；</w:t>
      </w: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 动工及竣工时间：该地块动工时间为地块交付之日起一年内，竣工时间为土地交付之日起三年内（因不可抗拒因素除外）；</w:t>
      </w:r>
    </w:p>
    <w:p>
      <w:pPr>
        <w:tabs>
          <w:tab w:val="left" w:pos="3388"/>
        </w:tabs>
        <w:spacing w:line="560" w:lineRule="exact"/>
        <w:jc w:val="left"/>
        <w:rPr>
          <w:rFonts w:hint="eastAsia" w:ascii="Times New Roman" w:hAnsi="Times New Roman" w:eastAsia="仿宋_GB2312"/>
          <w:sz w:val="30"/>
          <w:szCs w:val="30"/>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 xml:space="preserve">）本地块交付时间为《国有土地使用权出让合同》签订之日。 </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四、土地开发及使用规定</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eastAsia="仿宋_GB2312"/>
          <w:sz w:val="32"/>
          <w:szCs w:val="32"/>
          <w:highlight w:val="none"/>
        </w:rPr>
        <w:t>（一）</w:t>
      </w:r>
      <w:r>
        <w:rPr>
          <w:rFonts w:hint="eastAsia" w:ascii="仿宋_GB2312" w:hAnsi="仿宋_GB2312" w:eastAsia="仿宋_GB2312" w:cs="仿宋_GB2312"/>
          <w:sz w:val="32"/>
          <w:szCs w:val="32"/>
          <w:highlight w:val="none"/>
          <w:lang w:eastAsia="zh-CN"/>
        </w:rPr>
        <w:t>开发投资总额不少于人民币</w:t>
      </w:r>
      <w:r>
        <w:rPr>
          <w:rFonts w:hint="eastAsia" w:ascii="仿宋_GB2312" w:hAnsi="宋体" w:eastAsia="仿宋_GB2312" w:cs="宋体"/>
          <w:color w:val="auto"/>
          <w:kern w:val="0"/>
          <w:sz w:val="32"/>
          <w:szCs w:val="32"/>
          <w:highlight w:val="none"/>
          <w:lang w:val="en-US" w:eastAsia="zh-CN"/>
        </w:rPr>
        <w:t>101734</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eastAsia="zh-CN"/>
        </w:rPr>
        <w:t>（含地价）。</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eastAsia="仿宋_GB2312"/>
          <w:sz w:val="32"/>
          <w:szCs w:val="32"/>
          <w:highlight w:val="none"/>
        </w:rPr>
        <w:t>（二）</w:t>
      </w:r>
      <w:r>
        <w:rPr>
          <w:rFonts w:hint="eastAsia" w:ascii="仿宋_GB2312" w:hAnsi="仿宋_GB2312" w:eastAsia="仿宋_GB2312" w:cs="仿宋_GB2312"/>
          <w:sz w:val="32"/>
          <w:szCs w:val="32"/>
          <w:highlight w:val="none"/>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（三）竞得人在用地红线内开发建设必须符合城市规划要求，必须按</w:t>
      </w:r>
      <w:r>
        <w:rPr>
          <w:rFonts w:hint="eastAsia" w:ascii="仿宋_GB2312" w:hAnsi="宋体" w:eastAsia="仿宋_GB2312" w:cs="宋体"/>
          <w:color w:val="auto"/>
          <w:kern w:val="0"/>
          <w:sz w:val="32"/>
          <w:szCs w:val="32"/>
          <w:highlight w:val="none"/>
          <w:lang w:eastAsia="zh-CN"/>
        </w:rPr>
        <w:t>项目规划建设方案</w:t>
      </w:r>
      <w:r>
        <w:rPr>
          <w:rFonts w:hint="eastAsia" w:ascii="仿宋_GB2312" w:hAnsi="仿宋_GB2312" w:eastAsia="仿宋_GB2312" w:cs="仿宋_GB2312"/>
          <w:sz w:val="32"/>
          <w:szCs w:val="32"/>
          <w:highlight w:val="none"/>
          <w:lang w:eastAsia="zh-CN"/>
        </w:rPr>
        <w:t>的要求进行规划设计。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所报总平面图的主要技术经济指标：规划布局22栋厂房、1栋宿舍，计算指标用地面积67823平方米，建筑层数地上最高13层（建筑高度最高47.6米），计容积率建筑面积122081.4平方米（其中生活服务设施建筑面积占比16.05%），容积率1.8，建筑密度32.45%（其中生活服务设施基底面积占用地面积比3.53%），绿地率15%，机动车停车位504个，非机动车停车位611个，申请人防易地建设面积2385.98平方米。所报方案主要技术指标符合《建设用地规划设计条件》（PB20210059)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（五）招商条件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投资强度不低于15000元/平方米，土地产出率（工业产值）不低于20000元/平方米/年，税收产出不低于1208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000000"/>
          <w:kern w:val="0"/>
          <w:sz w:val="32"/>
          <w:szCs w:val="32"/>
          <w:lang w:val="en-US" w:eastAsia="zh-CN"/>
        </w:rPr>
        <w:t>竞得人需与</w:t>
      </w:r>
      <w:r>
        <w:rPr>
          <w:rFonts w:hint="eastAsia" w:ascii="仿宋_GB2312" w:hAnsi="仿宋_GB2312" w:eastAsia="仿宋_GB2312" w:cs="仿宋_GB2312"/>
          <w:b w:val="0"/>
          <w:bCs w:val="0"/>
          <w:color w:val="000000"/>
          <w:kern w:val="0"/>
          <w:sz w:val="32"/>
          <w:szCs w:val="32"/>
          <w:highlight w:val="none"/>
          <w:lang w:val="en-US" w:eastAsia="zh-CN"/>
        </w:rPr>
        <w:t>惠州市惠城区高新科技产业园管理委员会</w:t>
      </w:r>
      <w:r>
        <w:rPr>
          <w:rFonts w:hint="eastAsia" w:ascii="仿宋_GB2312" w:hAnsi="仿宋_GB2312" w:eastAsia="仿宋_GB2312" w:cs="仿宋_GB2312"/>
          <w:b w:val="0"/>
          <w:bCs w:val="0"/>
          <w:color w:val="000000"/>
          <w:kern w:val="0"/>
          <w:sz w:val="32"/>
          <w:szCs w:val="32"/>
          <w:lang w:val="en-US" w:eastAsia="zh-CN"/>
        </w:rPr>
        <w:t>签订《项目实施监管协议书》并完成监管协议公证手续。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）竞得人在签订《成交确认书》前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须与</w:t>
      </w:r>
      <w:r>
        <w:rPr>
          <w:rFonts w:hint="eastAsia" w:ascii="仿宋_GB2312" w:hAnsi="仿宋_GB2312" w:eastAsia="仿宋_GB2312" w:cs="仿宋_GB2312"/>
          <w:b w:val="0"/>
          <w:bCs w:val="0"/>
          <w:color w:val="000000"/>
          <w:kern w:val="0"/>
          <w:sz w:val="32"/>
          <w:szCs w:val="32"/>
          <w:highlight w:val="none"/>
          <w:lang w:val="en-US" w:eastAsia="zh-CN"/>
        </w:rPr>
        <w:t>惠州市</w:t>
      </w:r>
      <w:r>
        <w:rPr>
          <w:rFonts w:hint="eastAsia" w:ascii="仿宋_GB2312" w:hAnsi="宋体" w:eastAsia="仿宋_GB2312" w:cs="宋体"/>
          <w:color w:val="auto"/>
          <w:kern w:val="0"/>
          <w:sz w:val="32"/>
          <w:szCs w:val="32"/>
          <w:highlight w:val="none"/>
        </w:rPr>
        <w:t>惠城区高新科技产业园</w:t>
      </w:r>
      <w:r>
        <w:rPr>
          <w:rFonts w:hint="eastAsia" w:ascii="仿宋_GB2312" w:hAnsi="宋体" w:eastAsia="仿宋_GB2312" w:cs="宋体"/>
          <w:color w:val="auto"/>
          <w:kern w:val="0"/>
          <w:sz w:val="32"/>
          <w:szCs w:val="32"/>
          <w:highlight w:val="none"/>
          <w:lang w:val="en-US" w:eastAsia="zh-CN"/>
        </w:rPr>
        <w:t>管理委员会</w:t>
      </w:r>
      <w:r>
        <w:rPr>
          <w:rFonts w:hint="eastAsia" w:ascii="仿宋_GB2312" w:hAnsi="仿宋_GB2312" w:eastAsia="仿宋_GB2312" w:cs="仿宋_GB2312"/>
          <w:color w:val="auto"/>
          <w:sz w:val="32"/>
          <w:szCs w:val="32"/>
          <w:highlight w:val="none"/>
        </w:rPr>
        <w:t>签订《</w:t>
      </w:r>
      <w:r>
        <w:rPr>
          <w:rFonts w:hint="eastAsia" w:ascii="仿宋_GB2312" w:hAnsi="仿宋_GB2312" w:eastAsia="仿宋_GB2312" w:cs="仿宋_GB2312"/>
          <w:color w:val="auto"/>
          <w:sz w:val="32"/>
          <w:szCs w:val="32"/>
          <w:highlight w:val="none"/>
          <w:lang w:eastAsia="zh-CN"/>
        </w:rPr>
        <w:t>项目实施监管协议书</w:t>
      </w:r>
      <w:r>
        <w:rPr>
          <w:rFonts w:hint="eastAsia" w:ascii="仿宋_GB2312" w:hAnsi="仿宋_GB2312" w:eastAsia="仿宋_GB2312" w:cs="仿宋_GB2312"/>
          <w:color w:val="auto"/>
          <w:sz w:val="32"/>
          <w:szCs w:val="32"/>
          <w:highlight w:val="none"/>
        </w:rPr>
        <w:t>》，并由</w:t>
      </w:r>
      <w:r>
        <w:rPr>
          <w:rFonts w:hint="eastAsia" w:ascii="仿宋_GB2312" w:hAnsi="仿宋_GB2312" w:eastAsia="仿宋_GB2312" w:cs="仿宋_GB2312"/>
          <w:b w:val="0"/>
          <w:bCs w:val="0"/>
          <w:color w:val="000000"/>
          <w:kern w:val="0"/>
          <w:sz w:val="32"/>
          <w:szCs w:val="32"/>
          <w:highlight w:val="none"/>
          <w:lang w:val="en-US" w:eastAsia="zh-CN"/>
        </w:rPr>
        <w:t>惠州市惠城区高新科技产业园管理委员会</w:t>
      </w:r>
      <w:r>
        <w:rPr>
          <w:rFonts w:hint="eastAsia" w:ascii="仿宋_GB2312" w:hAnsi="仿宋_GB2312" w:eastAsia="仿宋_GB2312" w:cs="仿宋_GB2312"/>
          <w:color w:val="auto"/>
          <w:sz w:val="32"/>
          <w:szCs w:val="32"/>
          <w:highlight w:val="none"/>
        </w:rPr>
        <w:t>对项目用地实施批后监管</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000000"/>
          <w:kern w:val="0"/>
          <w:sz w:val="32"/>
          <w:szCs w:val="32"/>
          <w:highlight w:val="none"/>
        </w:rPr>
        <w:t>竞得人需</w:t>
      </w:r>
      <w:r>
        <w:rPr>
          <w:rFonts w:hint="eastAsia" w:ascii="仿宋_GB2312" w:hAnsi="仿宋_GB2312" w:eastAsia="仿宋_GB2312" w:cs="仿宋_GB2312"/>
          <w:b w:val="0"/>
          <w:bCs w:val="0"/>
          <w:color w:val="000000"/>
          <w:kern w:val="0"/>
          <w:sz w:val="32"/>
          <w:szCs w:val="32"/>
          <w:highlight w:val="none"/>
          <w:lang w:val="en-US" w:eastAsia="zh-CN"/>
        </w:rPr>
        <w:t>按照供电设计相关规范要求，在地块内</w:t>
      </w:r>
      <w:r>
        <w:rPr>
          <w:rFonts w:hint="eastAsia" w:ascii="仿宋_GB2312" w:hAnsi="仿宋_GB2312" w:eastAsia="仿宋_GB2312" w:cs="仿宋_GB2312"/>
          <w:b w:val="0"/>
          <w:bCs w:val="0"/>
          <w:color w:val="000000"/>
          <w:kern w:val="0"/>
          <w:sz w:val="32"/>
          <w:szCs w:val="32"/>
          <w:highlight w:val="none"/>
          <w:lang w:eastAsia="zh-CN"/>
        </w:rPr>
        <w:t>承担建筑面积≥</w:t>
      </w:r>
      <w:r>
        <w:rPr>
          <w:rFonts w:hint="eastAsia" w:ascii="仿宋_GB2312" w:hAnsi="仿宋_GB2312" w:eastAsia="仿宋_GB2312" w:cs="仿宋_GB2312"/>
          <w:b w:val="0"/>
          <w:bCs w:val="0"/>
          <w:color w:val="000000"/>
          <w:kern w:val="0"/>
          <w:sz w:val="32"/>
          <w:szCs w:val="32"/>
          <w:highlight w:val="none"/>
          <w:lang w:val="en-US" w:eastAsia="zh-CN"/>
        </w:rPr>
        <w:t>90㎡、建筑单独占地面积≥90㎡的园区供电开关站配套用房建设，建成后无偿移交给惠城区政府相关部门使用</w:t>
      </w:r>
      <w:r>
        <w:rPr>
          <w:rFonts w:hint="eastAsia" w:ascii="仿宋_GB2312" w:hAnsi="仿宋_GB2312" w:eastAsia="仿宋_GB2312" w:cs="仿宋_GB2312"/>
          <w:color w:val="auto"/>
          <w:sz w:val="32"/>
          <w:szCs w:val="32"/>
          <w:highlight w:val="none"/>
        </w:rPr>
        <w:t>。</w:t>
      </w:r>
    </w:p>
    <w:p>
      <w:pPr>
        <w:tabs>
          <w:tab w:val="left" w:pos="3388"/>
        </w:tabs>
        <w:spacing w:line="560" w:lineRule="exact"/>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中华人民共和国境内外的法人和其他组织（除法律法规另有规定外），均可申请参加竞买。申请人可以单独申请，也可以联合申请。申请人还应具备下列条件：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（一）按时足额交纳竞买保证金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竞买人缴交的竞买保证金为人民币2010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kern w:val="0"/>
          <w:sz w:val="32"/>
          <w:szCs w:val="32"/>
          <w:highlight w:val="none"/>
        </w:rPr>
        <w:t>。</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rPr>
        <w:t>）预先办理数字证书。本次国有建设用地使用权网</w:t>
      </w:r>
      <w:r>
        <w:rPr>
          <w:rFonts w:hint="eastAsia" w:ascii="仿宋_GB2312" w:hAnsi="仿宋_GB2312" w:eastAsia="仿宋_GB2312" w:cs="仿宋_GB2312"/>
          <w:sz w:val="32"/>
          <w:szCs w:val="32"/>
          <w:highlight w:val="none"/>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）申请人及其控股股东存在下列违法、违规、违约行为之一的，不得参与上述地块竞买活动：</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5、至报名日止仍拖欠政府地价款的。</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六、违约及处理</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竞得人有下列行为之一的，视为违约，取消竞得人资格，</w:t>
      </w:r>
      <w:r>
        <w:rPr>
          <w:rFonts w:hint="eastAsia" w:ascii="仿宋_GB2312" w:hAnsi="仿宋_GB2312" w:eastAsia="仿宋_GB2312" w:cs="仿宋_GB2312"/>
          <w:sz w:val="32"/>
          <w:szCs w:val="32"/>
          <w:highlight w:val="none"/>
          <w:lang w:val="en-US" w:eastAsia="zh-CN"/>
        </w:rPr>
        <w:t>定金不予返还,</w:t>
      </w:r>
      <w:r>
        <w:rPr>
          <w:rFonts w:hint="eastAsia" w:ascii="仿宋_GB2312" w:hAnsi="仿宋_GB2312" w:eastAsia="仿宋_GB2312" w:cs="仿宋_GB2312"/>
          <w:sz w:val="32"/>
          <w:szCs w:val="32"/>
          <w:highlight w:val="none"/>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（一）不符合竞买资格条件的。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七、网上挂牌出让地块的起始价、增加幅度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挂牌起始价为人民币</w:t>
      </w:r>
      <w:r>
        <w:rPr>
          <w:rFonts w:hint="eastAsia" w:ascii="仿宋_GB2312" w:hAnsi="仿宋_GB2312" w:eastAsia="仿宋_GB2312" w:cs="仿宋_GB2312"/>
          <w:color w:val="auto"/>
          <w:sz w:val="32"/>
          <w:szCs w:val="32"/>
          <w:highlight w:val="none"/>
          <w:u w:val="single"/>
          <w:lang w:val="en-US" w:eastAsia="zh-CN"/>
        </w:rPr>
        <w:t>陆仟柒佰</w:t>
      </w:r>
      <w:r>
        <w:rPr>
          <w:rFonts w:hint="eastAsia" w:ascii="仿宋_GB2312" w:hAnsi="仿宋_GB2312" w:eastAsia="仿宋_GB2312" w:cs="仿宋_GB2312"/>
          <w:color w:val="auto"/>
          <w:sz w:val="32"/>
          <w:szCs w:val="32"/>
          <w:highlight w:val="none"/>
          <w:u w:val="single"/>
        </w:rPr>
        <w:t>万元整</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rPr>
        <w:t>6700</w:t>
      </w:r>
      <w:r>
        <w:rPr>
          <w:rFonts w:hint="eastAsia" w:ascii="仿宋_GB2312" w:hAnsi="仿宋_GB2312" w:eastAsia="仿宋_GB2312" w:cs="仿宋_GB2312"/>
          <w:color w:val="auto"/>
          <w:sz w:val="32"/>
          <w:szCs w:val="32"/>
          <w:highlight w:val="none"/>
        </w:rPr>
        <w:t>万元）,增价幅度为人民币</w:t>
      </w:r>
      <w:r>
        <w:rPr>
          <w:rFonts w:hint="eastAsia" w:ascii="仿宋_GB2312" w:hAnsi="仿宋_GB2312" w:eastAsia="仿宋_GB2312" w:cs="仿宋_GB2312"/>
          <w:color w:val="auto"/>
          <w:sz w:val="32"/>
          <w:szCs w:val="32"/>
          <w:highlight w:val="none"/>
          <w:u w:val="single"/>
          <w:lang w:val="en-US" w:eastAsia="zh-CN"/>
        </w:rPr>
        <w:t>伍拾</w:t>
      </w:r>
      <w:r>
        <w:rPr>
          <w:rFonts w:hint="eastAsia" w:ascii="仿宋_GB2312" w:hAnsi="仿宋_GB2312" w:eastAsia="仿宋_GB2312" w:cs="仿宋_GB2312"/>
          <w:color w:val="auto"/>
          <w:sz w:val="32"/>
          <w:szCs w:val="32"/>
          <w:highlight w:val="none"/>
          <w:u w:val="single"/>
        </w:rPr>
        <w:t>万元</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u w:val="single"/>
        </w:rPr>
        <w:t>0</w:t>
      </w:r>
      <w:r>
        <w:rPr>
          <w:rFonts w:hint="eastAsia" w:ascii="仿宋_GB2312" w:hAnsi="仿宋_GB2312" w:eastAsia="仿宋_GB2312" w:cs="仿宋_GB2312"/>
          <w:color w:val="auto"/>
          <w:sz w:val="32"/>
          <w:szCs w:val="32"/>
          <w:highlight w:val="none"/>
        </w:rPr>
        <w:t>万元）。</w:t>
      </w:r>
    </w:p>
    <w:p>
      <w:pPr>
        <w:tabs>
          <w:tab w:val="left" w:pos="3388"/>
        </w:tabs>
        <w:spacing w:line="560" w:lineRule="exact"/>
        <w:jc w:val="left"/>
        <w:rPr>
          <w:rFonts w:ascii="仿宋_GB2312" w:hAnsi="仿宋_GB2312" w:eastAsia="仿宋_GB2312" w:cs="仿宋_GB2312"/>
          <w:b/>
          <w:bCs/>
          <w:sz w:val="32"/>
          <w:szCs w:val="32"/>
          <w:highlight w:val="none"/>
        </w:rPr>
      </w:pPr>
      <w:bookmarkStart w:id="3" w:name="104"/>
      <w:r>
        <w:rPr>
          <w:rFonts w:hint="eastAsia" w:ascii="仿宋_GB2312" w:hAnsi="仿宋_GB2312" w:eastAsia="仿宋_GB2312" w:cs="仿宋_GB2312"/>
          <w:b/>
          <w:bCs/>
          <w:sz w:val="32"/>
          <w:szCs w:val="32"/>
          <w:highlight w:val="none"/>
        </w:rPr>
        <w:t>八、</w:t>
      </w:r>
      <w:bookmarkEnd w:id="3"/>
      <w:r>
        <w:rPr>
          <w:rFonts w:hint="eastAsia" w:ascii="仿宋_GB2312" w:hAnsi="仿宋_GB2312" w:eastAsia="仿宋_GB2312" w:cs="仿宋_GB2312"/>
          <w:b/>
          <w:bCs/>
          <w:sz w:val="32"/>
          <w:szCs w:val="32"/>
          <w:highlight w:val="none"/>
        </w:rPr>
        <w:t>本次网上挂牌出让活动有关时间</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（一）网上挂牌起始时间：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（二）网上挂牌截止时间：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10时。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（三）网上挂牌交纳保证金截止时间：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九、挂牌文件获取</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挂牌出让地块现状图；</w:t>
      </w:r>
    </w:p>
    <w:p>
      <w:pPr>
        <w:tabs>
          <w:tab w:val="left" w:pos="3388"/>
        </w:tabs>
        <w:spacing w:line="560" w:lineRule="exact"/>
        <w:ind w:firstLine="640"/>
        <w:jc w:val="left"/>
        <w:rPr>
          <w:rFonts w:hint="default" w:eastAsia="仿宋_GB2312"/>
          <w:highlight w:val="none"/>
          <w:lang w:val="en-US" w:eastAsia="zh-CN"/>
        </w:rPr>
      </w:pPr>
      <w:r>
        <w:rPr>
          <w:rFonts w:hint="eastAsia" w:ascii="仿宋_GB2312" w:hAnsi="仿宋_GB2312" w:eastAsia="仿宋_GB2312" w:cs="仿宋_GB2312"/>
          <w:sz w:val="32"/>
          <w:szCs w:val="32"/>
          <w:highlight w:val="none"/>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惠州市</w:t>
      </w:r>
      <w:r>
        <w:rPr>
          <w:rFonts w:hint="eastAsia" w:ascii="仿宋_GB2312" w:hAnsi="仿宋_GB2312" w:eastAsia="仿宋_GB2312" w:cs="仿宋_GB2312"/>
          <w:sz w:val="32"/>
          <w:szCs w:val="32"/>
          <w:highlight w:val="none"/>
          <w:lang w:val="en-US" w:eastAsia="zh-CN"/>
        </w:rPr>
        <w:t>国有建设用地使用权电子挂牌</w:t>
      </w:r>
      <w:r>
        <w:rPr>
          <w:rFonts w:hint="eastAsia" w:ascii="仿宋_GB2312" w:hAnsi="仿宋_GB2312" w:eastAsia="仿宋_GB2312" w:cs="仿宋_GB2312"/>
          <w:sz w:val="32"/>
          <w:szCs w:val="32"/>
          <w:highlight w:val="none"/>
        </w:rPr>
        <w:t>交易成交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《国有建设用地使用权出让合同》（以下简称“出让合同”）样本；</w:t>
      </w:r>
    </w:p>
    <w:p>
      <w:pPr>
        <w:pStyle w:val="2"/>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 xml:space="preserve"> 8、</w:t>
      </w:r>
      <w:r>
        <w:rPr>
          <w:rFonts w:hint="eastAsia" w:ascii="仿宋_GB2312" w:hAnsi="仿宋_GB2312" w:eastAsia="仿宋_GB2312" w:cs="仿宋_GB2312"/>
          <w:kern w:val="2"/>
          <w:sz w:val="32"/>
          <w:szCs w:val="32"/>
          <w:highlight w:val="none"/>
          <w:lang w:val="en-US" w:eastAsia="zh-CN" w:bidi="ar-SA"/>
        </w:rPr>
        <w:t>《项目实施监管协议书》</w:t>
      </w:r>
    </w:p>
    <w:p>
      <w:pPr>
        <w:tabs>
          <w:tab w:val="left" w:pos="3388"/>
        </w:tabs>
        <w:spacing w:line="560" w:lineRule="exact"/>
        <w:ind w:left="0" w:leftChars="0" w:firstLine="640" w:firstLineChars="200"/>
        <w:jc w:val="left"/>
        <w:rPr>
          <w:highlight w:val="none"/>
        </w:rPr>
      </w:pPr>
      <w:r>
        <w:rPr>
          <w:rFonts w:hint="eastAsia" w:ascii="仿宋_GB2312" w:hAnsi="仿宋_GB2312" w:eastAsia="仿宋_GB2312" w:cs="仿宋_GB2312"/>
          <w:sz w:val="32"/>
          <w:szCs w:val="32"/>
          <w:highlight w:val="none"/>
          <w:lang w:val="en-US" w:eastAsia="zh-CN"/>
        </w:rPr>
        <w:t>9、其他相关文件</w:t>
      </w:r>
      <w:r>
        <w:rPr>
          <w:rFonts w:hint="eastAsia" w:ascii="仿宋_GB2312" w:hAnsi="仿宋_GB2312" w:eastAsia="仿宋_GB2312" w:cs="仿宋_GB2312"/>
          <w:sz w:val="32"/>
          <w:szCs w:val="32"/>
          <w:highlight w:val="none"/>
        </w:rPr>
        <w:t>。</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十、办理数字证书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十一、答疑及现场踏勘</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highlight w:val="none"/>
        </w:rPr>
      </w:pPr>
      <w:bookmarkStart w:id="4" w:name="103"/>
      <w:bookmarkEnd w:id="4"/>
      <w:r>
        <w:rPr>
          <w:rFonts w:hint="eastAsia" w:ascii="仿宋_GB2312" w:hAnsi="仿宋_GB2312" w:eastAsia="仿宋_GB2312" w:cs="仿宋_GB2312"/>
          <w:b/>
          <w:bCs/>
          <w:sz w:val="32"/>
          <w:szCs w:val="32"/>
          <w:highlight w:val="none"/>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（二）本宗地竞买保证金到账截止时间为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9时整，竞买保证金为人民币</w:t>
      </w:r>
      <w:r>
        <w:rPr>
          <w:rFonts w:hint="eastAsia" w:ascii="仿宋_GB2312" w:hAnsi="仿宋_GB2312" w:eastAsia="仿宋_GB2312" w:cs="仿宋_GB2312"/>
          <w:color w:val="auto"/>
          <w:sz w:val="32"/>
          <w:szCs w:val="32"/>
          <w:highlight w:val="none"/>
          <w:u w:val="single"/>
          <w:lang w:val="en-US" w:eastAsia="zh-CN"/>
        </w:rPr>
        <w:t>贰仟零壹拾万</w:t>
      </w:r>
      <w:r>
        <w:rPr>
          <w:rFonts w:hint="eastAsia" w:ascii="仿宋_GB2312" w:hAnsi="仿宋_GB2312" w:eastAsia="仿宋_GB2312" w:cs="仿宋_GB2312"/>
          <w:color w:val="auto"/>
          <w:sz w:val="32"/>
          <w:szCs w:val="32"/>
          <w:highlight w:val="none"/>
          <w:u w:val="single"/>
        </w:rPr>
        <w:t>元整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2010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（六）竞买保证金开户单位：惠州市公共资源交易中心</w:t>
      </w:r>
    </w:p>
    <w:p>
      <w:pPr>
        <w:tabs>
          <w:tab w:val="left" w:pos="3388"/>
        </w:tabs>
        <w:spacing w:line="560" w:lineRule="exact"/>
        <w:ind w:firstLine="640" w:firstLineChars="200"/>
        <w:jc w:val="left"/>
        <w:rPr>
          <w:highlight w:val="none"/>
        </w:rPr>
      </w:pPr>
      <w:r>
        <w:rPr>
          <w:rFonts w:hint="eastAsia" w:ascii="仿宋_GB2312" w:hAnsi="仿宋_GB2312" w:eastAsia="仿宋_GB2312" w:cs="仿宋_GB2312"/>
          <w:sz w:val="32"/>
          <w:szCs w:val="32"/>
          <w:highlight w:val="none"/>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中国农业银行惠州分行。</w:t>
      </w:r>
    </w:p>
    <w:p>
      <w:pPr>
        <w:tabs>
          <w:tab w:val="left" w:pos="3388"/>
        </w:tabs>
        <w:spacing w:line="560" w:lineRule="exact"/>
        <w:ind w:firstLine="640" w:firstLineChars="200"/>
        <w:jc w:val="left"/>
        <w:rPr>
          <w:rFonts w:hint="eastAsia"/>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10、中国光大银行股份有限公司惠州分行。</w:t>
      </w:r>
    </w:p>
    <w:p>
      <w:pPr>
        <w:tabs>
          <w:tab w:val="left" w:pos="3388"/>
        </w:tabs>
        <w:spacing w:line="560" w:lineRule="exact"/>
        <w:ind w:firstLine="640" w:firstLineChars="200"/>
        <w:jc w:val="left"/>
        <w:rPr>
          <w:rFonts w:hint="eastAsia"/>
          <w:highlight w:val="none"/>
          <w:lang w:val="en-US"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中信银行股份有限公司惠州分行。(备注:中信银行股份有限公司惠州分行本行</w:t>
      </w:r>
      <w:r>
        <w:rPr>
          <w:rFonts w:hint="eastAsia" w:ascii="仿宋_GB2312" w:hAnsi="仿宋_GB2312" w:eastAsia="仿宋_GB2312" w:cs="仿宋_GB2312"/>
          <w:sz w:val="32"/>
          <w:szCs w:val="32"/>
          <w:highlight w:val="none"/>
          <w:lang w:val="en-US" w:eastAsia="zh-CN"/>
        </w:rPr>
        <w:t>转账</w:t>
      </w:r>
      <w:r>
        <w:rPr>
          <w:rFonts w:hint="eastAsia" w:ascii="仿宋_GB2312" w:hAnsi="仿宋_GB2312" w:eastAsia="仿宋_GB2312" w:cs="仿宋_GB2312"/>
          <w:sz w:val="32"/>
          <w:szCs w:val="32"/>
          <w:highlight w:val="none"/>
        </w:rPr>
        <w:t>须到银行柜面办理)。</w:t>
      </w:r>
    </w:p>
    <w:p>
      <w:pPr>
        <w:tabs>
          <w:tab w:val="left" w:pos="3388"/>
        </w:tabs>
        <w:spacing w:line="560" w:lineRule="exact"/>
        <w:jc w:val="left"/>
        <w:rPr>
          <w:rFonts w:ascii="仿宋_GB2312" w:hAnsi="仿宋_GB2312" w:eastAsia="仿宋_GB2312" w:cs="仿宋_GB2312"/>
          <w:b/>
          <w:bCs/>
          <w:sz w:val="32"/>
          <w:szCs w:val="32"/>
          <w:highlight w:val="none"/>
        </w:rPr>
      </w:pPr>
      <w:bookmarkStart w:id="5" w:name="107"/>
      <w:r>
        <w:rPr>
          <w:rFonts w:hint="eastAsia" w:ascii="仿宋_GB2312" w:hAnsi="仿宋_GB2312" w:eastAsia="仿宋_GB2312" w:cs="仿宋_GB2312"/>
          <w:b/>
          <w:bCs/>
          <w:sz w:val="32"/>
          <w:szCs w:val="32"/>
          <w:highlight w:val="none"/>
        </w:rPr>
        <w:t>十三、</w:t>
      </w:r>
      <w:bookmarkEnd w:id="5"/>
      <w:r>
        <w:rPr>
          <w:rFonts w:hint="eastAsia" w:ascii="仿宋_GB2312" w:hAnsi="仿宋_GB2312" w:eastAsia="仿宋_GB2312" w:cs="仿宋_GB2312"/>
          <w:b/>
          <w:bCs/>
          <w:sz w:val="32"/>
          <w:szCs w:val="32"/>
          <w:highlight w:val="none"/>
        </w:rPr>
        <w:t>网上报价规则</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3、报价不符合报价规则的。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十四、系统操作</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土地与矿业交易系统竞买人操作视频</w:t>
      </w:r>
      <w:r>
        <w:rPr>
          <w:rFonts w:hint="eastAsia" w:ascii="仿宋_GB2312" w:hAnsi="仿宋_GB2312" w:eastAsia="仿宋_GB2312" w:cs="仿宋_GB2312"/>
          <w:sz w:val="32"/>
          <w:szCs w:val="32"/>
          <w:highlight w:val="none"/>
          <w:lang w:val="en-US" w:eastAsia="zh-CN"/>
        </w:rPr>
        <w:t>可在</w:t>
      </w:r>
      <w:r>
        <w:rPr>
          <w:rFonts w:hint="eastAsia" w:ascii="仿宋_GB2312" w:hAnsi="仿宋_GB2312" w:eastAsia="仿宋_GB2312" w:cs="仿宋_GB2312"/>
          <w:sz w:val="32"/>
          <w:szCs w:val="32"/>
          <w:highlight w:val="none"/>
        </w:rPr>
        <w:t>本中心网上挂牌交易系</w:t>
      </w:r>
      <w:r>
        <w:rPr>
          <w:rFonts w:hint="eastAsia" w:ascii="仿宋_GB2312" w:hAnsi="仿宋_GB2312" w:eastAsia="仿宋_GB2312" w:cs="仿宋_GB2312"/>
          <w:sz w:val="32"/>
          <w:szCs w:val="32"/>
          <w:highlight w:val="none"/>
          <w:lang w:val="en-US" w:eastAsia="zh-CN"/>
        </w:rPr>
        <w:t>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十五、</w:t>
      </w:r>
      <w:bookmarkEnd w:id="6"/>
      <w:r>
        <w:rPr>
          <w:rFonts w:hint="eastAsia" w:ascii="仿宋_GB2312" w:hAnsi="仿宋_GB2312" w:eastAsia="仿宋_GB2312" w:cs="仿宋_GB2312"/>
          <w:b/>
          <w:bCs/>
          <w:sz w:val="32"/>
          <w:szCs w:val="32"/>
          <w:highlight w:val="none"/>
        </w:rPr>
        <w:t>网上挂牌程序</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我中心将有关宗地的位置、面积、用途、使用年期、规划要求、起始价、增价规则及增价幅度等予以公布。有意竞买者可登陆惠州市公共资源交易中心土地与矿业网上挂牌交易系统网站(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（五）网上挂牌截止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2、网上挂牌交易</w:t>
      </w:r>
      <w:r>
        <w:rPr>
          <w:rFonts w:hint="eastAsia" w:ascii="仿宋_GB2312" w:hAnsi="仿宋_GB2312" w:eastAsia="仿宋_GB2312" w:cs="仿宋_GB2312"/>
          <w:sz w:val="32"/>
          <w:szCs w:val="32"/>
          <w:highlight w:val="none"/>
          <w:lang w:val="en-US" w:eastAsia="zh-CN"/>
        </w:rPr>
        <w:t>期限截止时，无人报价的，挂牌不成交</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3、网上挂牌交易</w:t>
      </w:r>
      <w:r>
        <w:rPr>
          <w:rFonts w:hint="eastAsia" w:ascii="仿宋_GB2312" w:hAnsi="仿宋_GB2312" w:eastAsia="仿宋_GB2312" w:cs="仿宋_GB2312"/>
          <w:sz w:val="32"/>
          <w:szCs w:val="32"/>
          <w:highlight w:val="none"/>
          <w:lang w:val="en-US" w:eastAsia="zh-CN"/>
        </w:rPr>
        <w:t>期限截止时，只有1个竞买人报价，且报价不低于起始价的，挂牌成交，该报价者为竞得人。</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hint="eastAsia" w:eastAsia="仿宋_GB2312"/>
          <w:highlight w:val="none"/>
          <w:lang w:val="en-US" w:eastAsia="zh-CN"/>
        </w:rPr>
      </w:pPr>
      <w:r>
        <w:rPr>
          <w:rFonts w:hint="eastAsia" w:ascii="仿宋_GB2312" w:hAnsi="仿宋_GB2312" w:eastAsia="仿宋_GB2312" w:cs="仿宋_GB2312"/>
          <w:sz w:val="32"/>
          <w:szCs w:val="32"/>
          <w:highlight w:val="none"/>
        </w:rPr>
        <w:t xml:space="preserve">     网上限时竞价中无人报价的，以网上挂牌截止时出价最高</w:t>
      </w:r>
      <w:r>
        <w:rPr>
          <w:rFonts w:hint="eastAsia" w:ascii="仿宋_GB2312" w:hAnsi="仿宋_GB2312" w:eastAsia="仿宋_GB2312" w:cs="仿宋_GB2312"/>
          <w:sz w:val="32"/>
          <w:szCs w:val="32"/>
          <w:highlight w:val="none"/>
          <w:lang w:val="en-US" w:eastAsia="zh-CN"/>
        </w:rPr>
        <w:t>且报价不低于起始价者</w:t>
      </w:r>
      <w:r>
        <w:rPr>
          <w:rFonts w:hint="eastAsia" w:ascii="仿宋_GB2312" w:hAnsi="仿宋_GB2312" w:eastAsia="仿宋_GB2312" w:cs="仿宋_GB2312"/>
          <w:sz w:val="32"/>
          <w:szCs w:val="32"/>
          <w:highlight w:val="none"/>
        </w:rPr>
        <w:t>为竞得人。</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经网上挂牌交易系统询问完毕后，没有竞买人表示愿意继续竞价的，</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网上挂牌交易</w:t>
      </w:r>
      <w:r>
        <w:rPr>
          <w:rFonts w:hint="eastAsia" w:ascii="仿宋_GB2312" w:hAnsi="仿宋_GB2312" w:eastAsia="仿宋_GB2312" w:cs="仿宋_GB2312"/>
          <w:sz w:val="32"/>
          <w:szCs w:val="32"/>
          <w:highlight w:val="none"/>
          <w:lang w:val="en-US" w:eastAsia="zh-CN"/>
        </w:rPr>
        <w:t>截止时报价最高且报价不低于起始价者为竞得人。</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资格审查和签订《成交确认书》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2、竞得人应当在网上挂牌交易结果公布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个工作日内持公司公章及下列有关纸质材料到本中心进行</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资格审查：</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转账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项目实施监管协议书</w:t>
      </w:r>
      <w:r>
        <w:rPr>
          <w:rFonts w:hint="eastAsia" w:ascii="仿宋_GB2312" w:hAnsi="宋体" w:eastAsia="仿宋_GB2312" w:cs="宋体"/>
          <w:color w:val="auto"/>
          <w:kern w:val="0"/>
          <w:sz w:val="32"/>
          <w:szCs w:val="32"/>
          <w:highlight w:val="none"/>
        </w:rPr>
        <w:t>》。</w:t>
      </w:r>
    </w:p>
    <w:p>
      <w:pP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宋体" w:eastAsia="仿宋_GB2312" w:cs="宋体"/>
          <w:color w:val="auto"/>
          <w:kern w:val="0"/>
          <w:sz w:val="32"/>
          <w:szCs w:val="32"/>
          <w:highlight w:val="none"/>
        </w:rPr>
        <w:t>竞买人须提交惠城区发改局出具的与该宗地块规划确定的产业类型一致的优先发展产业项目文件。</w:t>
      </w:r>
    </w:p>
    <w:p>
      <w:pPr>
        <w:pStyle w:val="2"/>
        <w:ind w:left="0" w:leftChars="0" w:firstLine="640" w:firstLineChars="200"/>
        <w:rPr>
          <w:rFonts w:hint="eastAsia"/>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（11）竞买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上述文件中，申请书必须用中文书写，其他文件可以使用其它语言，但必须附中文译本，所有文件的解释以中文译本为准。</w:t>
      </w:r>
    </w:p>
    <w:p>
      <w:pPr>
        <w:pStyle w:val="2"/>
        <w:ind w:left="0" w:leftChars="0" w:firstLine="640" w:firstLineChars="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3、经审查，符合</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b w:val="0"/>
          <w:bCs w:val="0"/>
          <w:sz w:val="32"/>
          <w:szCs w:val="32"/>
          <w:highlight w:val="none"/>
          <w:lang w:val="en-US" w:eastAsia="zh-CN"/>
        </w:rPr>
        <w:t>资格的，竞得人应当按挂牌文件的约定时间与本中心及出让人签订《成交确认书》；经审查，不符合竞买资格的，按本须知第六条处理。</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）网上挂牌出让结果公示</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highlight w:val="none"/>
        </w:rPr>
      </w:pPr>
      <w:bookmarkStart w:id="7" w:name="108"/>
      <w:r>
        <w:rPr>
          <w:rFonts w:hint="eastAsia" w:ascii="仿宋_GB2312" w:hAnsi="仿宋_GB2312" w:eastAsia="仿宋_GB2312" w:cs="仿宋_GB2312"/>
          <w:b/>
          <w:bCs/>
          <w:sz w:val="32"/>
          <w:szCs w:val="32"/>
          <w:highlight w:val="none"/>
        </w:rPr>
        <w:t>十六、</w:t>
      </w:r>
      <w:bookmarkEnd w:id="7"/>
      <w:r>
        <w:rPr>
          <w:rFonts w:hint="eastAsia" w:ascii="仿宋_GB2312" w:hAnsi="仿宋_GB2312" w:eastAsia="仿宋_GB2312" w:cs="仿宋_GB2312"/>
          <w:b/>
          <w:bCs/>
          <w:sz w:val="32"/>
          <w:szCs w:val="32"/>
          <w:highlight w:val="none"/>
        </w:rPr>
        <w:t>注意事项</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未竞得人缴纳的竞买保证金将于电子挂牌交易活动结束</w:t>
      </w:r>
      <w:r>
        <w:rPr>
          <w:rFonts w:hint="eastAsia" w:ascii="仿宋_GB2312" w:hAnsi="仿宋_GB2312" w:eastAsia="仿宋_GB2312" w:cs="仿宋_GB2312"/>
          <w:sz w:val="32"/>
          <w:szCs w:val="32"/>
          <w:highlight w:val="none"/>
          <w:lang w:val="en-US" w:eastAsia="zh-CN"/>
        </w:rPr>
        <w:t>之日起</w:t>
      </w:r>
      <w:r>
        <w:rPr>
          <w:rFonts w:hint="eastAsia" w:ascii="仿宋_GB2312" w:hAnsi="仿宋_GB2312" w:eastAsia="仿宋_GB2312" w:cs="仿宋_GB2312"/>
          <w:sz w:val="32"/>
          <w:szCs w:val="32"/>
          <w:highlight w:val="none"/>
        </w:rPr>
        <w:t>5个工作日内带齐相关资料（</w:t>
      </w:r>
      <w:r>
        <w:rPr>
          <w:rFonts w:hint="eastAsia" w:ascii="仿宋_GB2312" w:hAnsi="仿宋_GB2312" w:eastAsia="仿宋_GB2312" w:cs="仿宋_GB2312"/>
          <w:color w:val="000000"/>
          <w:sz w:val="32"/>
          <w:szCs w:val="32"/>
          <w:highlight w:val="none"/>
        </w:rPr>
        <w:t>《保证金到账通知书》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保证金</w:t>
      </w:r>
      <w:r>
        <w:rPr>
          <w:rFonts w:hint="eastAsia" w:ascii="仿宋_GB2312" w:hAnsi="仿宋_GB2312" w:eastAsia="仿宋_GB2312" w:cs="仿宋_GB2312"/>
          <w:color w:val="000000"/>
          <w:sz w:val="32"/>
          <w:szCs w:val="32"/>
          <w:highlight w:val="none"/>
        </w:rPr>
        <w:t>进账单等）到本中心退还保证金，不计利息。</w:t>
      </w:r>
    </w:p>
    <w:p>
      <w:pPr>
        <w:pStyle w:val="2"/>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color w:val="000000"/>
          <w:kern w:val="2"/>
          <w:sz w:val="32"/>
          <w:szCs w:val="32"/>
          <w:highlight w:val="none"/>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pacing w:line="560" w:lineRule="exact"/>
        <w:rPr>
          <w:rFonts w:ascii="仿宋_GB2312" w:eastAsia="仿宋_GB2312"/>
          <w:highlight w:val="none"/>
        </w:rPr>
      </w:pPr>
      <w:r>
        <w:rPr>
          <w:rFonts w:hint="eastAsia" w:ascii="仿宋_GB2312" w:hAnsi="仿宋_GB2312" w:eastAsia="仿宋_GB2312" w:cs="仿宋_GB2312"/>
          <w:sz w:val="32"/>
          <w:szCs w:val="32"/>
          <w:highlight w:val="none"/>
        </w:rPr>
        <w:t xml:space="preserve">    </w:t>
      </w:r>
      <w:r>
        <w:rPr>
          <w:rFonts w:hint="eastAsia" w:ascii="仿宋_GB2312" w:eastAsia="仿宋_GB2312"/>
          <w:sz w:val="32"/>
          <w:szCs w:val="32"/>
          <w:highlight w:val="none"/>
        </w:rPr>
        <w:t>6、</w:t>
      </w:r>
      <w:r>
        <w:rPr>
          <w:rFonts w:hint="eastAsia" w:ascii="仿宋_GB2312" w:eastAsia="仿宋_GB2312"/>
          <w:sz w:val="32"/>
          <w:szCs w:val="32"/>
          <w:highlight w:val="none"/>
          <w:lang w:val="en-US" w:eastAsia="zh-CN"/>
        </w:rPr>
        <w:t>惠州</w:t>
      </w:r>
      <w:r>
        <w:rPr>
          <w:rFonts w:hint="eastAsia" w:ascii="仿宋_GB2312" w:eastAsia="仿宋_GB2312"/>
          <w:sz w:val="32"/>
          <w:szCs w:val="32"/>
          <w:highlight w:val="none"/>
        </w:rPr>
        <w:t>市</w:t>
      </w:r>
      <w:r>
        <w:rPr>
          <w:rFonts w:hint="eastAsia" w:ascii="仿宋_GB2312" w:eastAsia="仿宋_GB2312"/>
          <w:sz w:val="32"/>
          <w:szCs w:val="32"/>
          <w:highlight w:val="none"/>
          <w:lang w:val="en-US" w:eastAsia="zh-CN"/>
        </w:rPr>
        <w:t>惠城区</w:t>
      </w:r>
      <w:r>
        <w:rPr>
          <w:rFonts w:hint="eastAsia" w:ascii="仿宋_GB2312" w:eastAsia="仿宋_GB2312"/>
          <w:sz w:val="32"/>
          <w:szCs w:val="32"/>
          <w:highlight w:val="none"/>
        </w:rPr>
        <w:t>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eastAsia="仿宋_GB2312"/>
          <w:sz w:val="32"/>
          <w:szCs w:val="32"/>
          <w:highlight w:val="none"/>
        </w:rPr>
        <w:t>（十）</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pStyle w:val="2"/>
        <w:rPr>
          <w:highlight w:val="none"/>
        </w:rPr>
      </w:pPr>
    </w:p>
    <w:p>
      <w:pPr>
        <w:pStyle w:val="2"/>
        <w:rPr>
          <w:highlight w:val="none"/>
        </w:rPr>
      </w:pPr>
    </w:p>
    <w:p>
      <w:pPr>
        <w:tabs>
          <w:tab w:val="left" w:pos="3388"/>
        </w:tabs>
        <w:ind w:firstLine="4640" w:firstLineChars="14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tabs>
          <w:tab w:val="left" w:pos="3388"/>
        </w:tabs>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2021年8月13</w:t>
      </w:r>
      <w:bookmarkStart w:id="8" w:name="_GoBack"/>
      <w:bookmarkEnd w:id="8"/>
      <w:r>
        <w:rPr>
          <w:rFonts w:hint="eastAsia" w:ascii="仿宋_GB2312" w:hAnsi="仿宋_GB2312" w:eastAsia="仿宋_GB2312" w:cs="仿宋_GB2312"/>
          <w:color w:val="auto"/>
          <w:sz w:val="32"/>
          <w:szCs w:val="32"/>
          <w:highlight w:val="none"/>
          <w:lang w:val="en-US" w:eastAsia="zh-CN"/>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BB2A35"/>
    <w:rsid w:val="04F7599A"/>
    <w:rsid w:val="054F511E"/>
    <w:rsid w:val="05616BEE"/>
    <w:rsid w:val="05AA6043"/>
    <w:rsid w:val="065D58C0"/>
    <w:rsid w:val="06E22DF8"/>
    <w:rsid w:val="071F73B3"/>
    <w:rsid w:val="077D5D24"/>
    <w:rsid w:val="07F629A0"/>
    <w:rsid w:val="091E26EA"/>
    <w:rsid w:val="09317644"/>
    <w:rsid w:val="0A812477"/>
    <w:rsid w:val="0B1406EF"/>
    <w:rsid w:val="0C052B0D"/>
    <w:rsid w:val="0C40433F"/>
    <w:rsid w:val="0DCB3B54"/>
    <w:rsid w:val="0FB217AF"/>
    <w:rsid w:val="0FB2799E"/>
    <w:rsid w:val="10152918"/>
    <w:rsid w:val="105A2768"/>
    <w:rsid w:val="10A1573B"/>
    <w:rsid w:val="10B43BC1"/>
    <w:rsid w:val="111E117E"/>
    <w:rsid w:val="11A17A14"/>
    <w:rsid w:val="12295A9F"/>
    <w:rsid w:val="12BC60FC"/>
    <w:rsid w:val="14924D3E"/>
    <w:rsid w:val="15BB632B"/>
    <w:rsid w:val="15C4392F"/>
    <w:rsid w:val="15D340EA"/>
    <w:rsid w:val="16615977"/>
    <w:rsid w:val="168C318D"/>
    <w:rsid w:val="16AE6DA7"/>
    <w:rsid w:val="170F4C1C"/>
    <w:rsid w:val="18220C10"/>
    <w:rsid w:val="1960257D"/>
    <w:rsid w:val="19D941D6"/>
    <w:rsid w:val="1CB6407B"/>
    <w:rsid w:val="1DE56E00"/>
    <w:rsid w:val="1E4A3E3B"/>
    <w:rsid w:val="1ED73189"/>
    <w:rsid w:val="1F1E4268"/>
    <w:rsid w:val="20855E22"/>
    <w:rsid w:val="21587C67"/>
    <w:rsid w:val="21A753F6"/>
    <w:rsid w:val="22463965"/>
    <w:rsid w:val="22661D8C"/>
    <w:rsid w:val="22DC01FC"/>
    <w:rsid w:val="23141DA3"/>
    <w:rsid w:val="247C6354"/>
    <w:rsid w:val="259D34B7"/>
    <w:rsid w:val="25D63F7C"/>
    <w:rsid w:val="26391FD0"/>
    <w:rsid w:val="272C05B0"/>
    <w:rsid w:val="282C1E6E"/>
    <w:rsid w:val="28D2352A"/>
    <w:rsid w:val="28ED736B"/>
    <w:rsid w:val="29220F8B"/>
    <w:rsid w:val="29DE5841"/>
    <w:rsid w:val="2A636D11"/>
    <w:rsid w:val="2AA45603"/>
    <w:rsid w:val="2B1A2077"/>
    <w:rsid w:val="2CA246FC"/>
    <w:rsid w:val="2CD752D7"/>
    <w:rsid w:val="2D027EED"/>
    <w:rsid w:val="2D2632FD"/>
    <w:rsid w:val="2DEB4267"/>
    <w:rsid w:val="2F0337D6"/>
    <w:rsid w:val="2F944F64"/>
    <w:rsid w:val="2FA2409E"/>
    <w:rsid w:val="30DB33EE"/>
    <w:rsid w:val="313D23E2"/>
    <w:rsid w:val="31880862"/>
    <w:rsid w:val="31B60A9D"/>
    <w:rsid w:val="324E22EE"/>
    <w:rsid w:val="33A33367"/>
    <w:rsid w:val="33CE0AAA"/>
    <w:rsid w:val="34B40523"/>
    <w:rsid w:val="34C41D04"/>
    <w:rsid w:val="34CD617E"/>
    <w:rsid w:val="360B04FE"/>
    <w:rsid w:val="36A2198B"/>
    <w:rsid w:val="378C6660"/>
    <w:rsid w:val="37FB7A76"/>
    <w:rsid w:val="38DE5E51"/>
    <w:rsid w:val="390E539D"/>
    <w:rsid w:val="3C4A4143"/>
    <w:rsid w:val="3C5E598F"/>
    <w:rsid w:val="3C8F0E4F"/>
    <w:rsid w:val="3CAD2EC5"/>
    <w:rsid w:val="3CB81CC8"/>
    <w:rsid w:val="3D322E34"/>
    <w:rsid w:val="3D34683B"/>
    <w:rsid w:val="3D5E1016"/>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9820AE6"/>
    <w:rsid w:val="4AFF2E69"/>
    <w:rsid w:val="4BA610FC"/>
    <w:rsid w:val="4BEE1CA4"/>
    <w:rsid w:val="4CF51C39"/>
    <w:rsid w:val="4D1F6077"/>
    <w:rsid w:val="4ED2701A"/>
    <w:rsid w:val="4F1E4BBE"/>
    <w:rsid w:val="4F3537ED"/>
    <w:rsid w:val="4FFE1B2F"/>
    <w:rsid w:val="51467837"/>
    <w:rsid w:val="52132F5D"/>
    <w:rsid w:val="528F1625"/>
    <w:rsid w:val="52AA5DFE"/>
    <w:rsid w:val="533F6C66"/>
    <w:rsid w:val="544F17E9"/>
    <w:rsid w:val="546D5003"/>
    <w:rsid w:val="54943EAC"/>
    <w:rsid w:val="54C11818"/>
    <w:rsid w:val="58AC5C79"/>
    <w:rsid w:val="58B217DC"/>
    <w:rsid w:val="58FE24B1"/>
    <w:rsid w:val="59693A9B"/>
    <w:rsid w:val="5A154FE3"/>
    <w:rsid w:val="5AEE4F52"/>
    <w:rsid w:val="5B1D2CCC"/>
    <w:rsid w:val="5B52670E"/>
    <w:rsid w:val="5B625B54"/>
    <w:rsid w:val="5B640509"/>
    <w:rsid w:val="5B8E3054"/>
    <w:rsid w:val="5D006096"/>
    <w:rsid w:val="5D731ABE"/>
    <w:rsid w:val="5DB15592"/>
    <w:rsid w:val="5DF81F1B"/>
    <w:rsid w:val="5DFB50B1"/>
    <w:rsid w:val="600248A4"/>
    <w:rsid w:val="610A5EBF"/>
    <w:rsid w:val="61245A3C"/>
    <w:rsid w:val="6178185B"/>
    <w:rsid w:val="617F00E3"/>
    <w:rsid w:val="61C04C47"/>
    <w:rsid w:val="626D5569"/>
    <w:rsid w:val="62D03E81"/>
    <w:rsid w:val="62D41879"/>
    <w:rsid w:val="6398078D"/>
    <w:rsid w:val="648A18F5"/>
    <w:rsid w:val="64C30585"/>
    <w:rsid w:val="651C53A6"/>
    <w:rsid w:val="656B5E9D"/>
    <w:rsid w:val="659D6FA9"/>
    <w:rsid w:val="65F2007E"/>
    <w:rsid w:val="66C13377"/>
    <w:rsid w:val="68085778"/>
    <w:rsid w:val="688B43B5"/>
    <w:rsid w:val="69B07B1E"/>
    <w:rsid w:val="69E22ED5"/>
    <w:rsid w:val="6AA821A5"/>
    <w:rsid w:val="6B8A6BF3"/>
    <w:rsid w:val="6BFA1460"/>
    <w:rsid w:val="6C013F77"/>
    <w:rsid w:val="6C181FB4"/>
    <w:rsid w:val="6C197CDD"/>
    <w:rsid w:val="6C552EDA"/>
    <w:rsid w:val="6C5A6DDE"/>
    <w:rsid w:val="6C611252"/>
    <w:rsid w:val="6C9546AA"/>
    <w:rsid w:val="6CCC1A8E"/>
    <w:rsid w:val="6FCE2720"/>
    <w:rsid w:val="705B684C"/>
    <w:rsid w:val="714F5518"/>
    <w:rsid w:val="71AB46C8"/>
    <w:rsid w:val="74CC0B4E"/>
    <w:rsid w:val="74D35F13"/>
    <w:rsid w:val="755C76C8"/>
    <w:rsid w:val="75E43E25"/>
    <w:rsid w:val="76382CBE"/>
    <w:rsid w:val="76B47A3E"/>
    <w:rsid w:val="77A91566"/>
    <w:rsid w:val="77E167B8"/>
    <w:rsid w:val="78591F3E"/>
    <w:rsid w:val="78CA1EAE"/>
    <w:rsid w:val="7AC1669C"/>
    <w:rsid w:val="7AE44F5D"/>
    <w:rsid w:val="7B3065F7"/>
    <w:rsid w:val="7B4F2E9A"/>
    <w:rsid w:val="7B8363CD"/>
    <w:rsid w:val="7C2C4A97"/>
    <w:rsid w:val="7D5207DE"/>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15</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杨惠丹</cp:lastModifiedBy>
  <cp:lastPrinted>2021-08-13T01:16:00Z</cp:lastPrinted>
  <dcterms:modified xsi:type="dcterms:W3CDTF">2021-08-13T08:32:18Z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