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keepNext w:val="0"/>
        <w:keepLines w:val="0"/>
        <w:pageBreakBefore w:val="0"/>
        <w:widowControl w:val="0"/>
        <w:kinsoku/>
        <w:wordWrap/>
        <w:overflowPunct/>
        <w:topLinePunct w:val="0"/>
        <w:bidi w:val="0"/>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lang w:val="en-US" w:eastAsia="zh-CN"/>
        </w:rPr>
        <w:t>038</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根据国土资源部令第39号《招标拍卖挂牌出让国有建设用地使用权规定》和广东省人民政府令第79号《广东省土地使用权交易市场管理规定》的规定，经惠城区人民政府批准，惠州市惠城区自然资源局</w:t>
      </w:r>
      <w:r>
        <w:rPr>
          <w:rFonts w:hint="eastAsia" w:ascii="仿宋_GB2312" w:hAnsi="仿宋_GB2312" w:eastAsia="仿宋_GB2312" w:cs="仿宋_GB2312"/>
          <w:sz w:val="32"/>
          <w:szCs w:val="32"/>
          <w:highlight w:val="none"/>
        </w:rPr>
        <w:t>决定以网上挂牌方式出让</w:t>
      </w:r>
      <w:r>
        <w:rPr>
          <w:rFonts w:hint="eastAsia" w:ascii="仿宋_GB2312" w:hAnsi="仿宋_GB2312" w:eastAsia="仿宋_GB2312" w:cs="仿宋_GB2312"/>
          <w:sz w:val="32"/>
          <w:szCs w:val="32"/>
        </w:rPr>
        <w:t>下列国有建设用地使用权，本次国有建设用地使用权网上挂牌出让交易具体事务委托惠州市公共资源交易中心办理。现将有关事项公告如下：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highlight w:val="none"/>
        </w:rPr>
        <w:t>网上挂牌竞买时间为</w:t>
      </w:r>
      <w:r>
        <w:rPr>
          <w:rFonts w:hint="eastAsia" w:ascii="仿宋_GB2312" w:hAnsi="仿宋_GB2312" w:eastAsia="仿宋_GB2312" w:cs="仿宋_GB2312"/>
          <w:sz w:val="32"/>
          <w:szCs w:val="32"/>
          <w:highlight w:val="none"/>
          <w:lang w:val="en-US" w:eastAsia="zh-CN"/>
        </w:rPr>
        <w:t>2021年11月5日9</w:t>
      </w:r>
      <w:r>
        <w:rPr>
          <w:rFonts w:hint="eastAsia" w:ascii="仿宋_GB2312" w:hAnsi="仿宋_GB2312" w:eastAsia="仿宋_GB2312" w:cs="仿宋_GB2312"/>
          <w:sz w:val="32"/>
          <w:szCs w:val="32"/>
          <w:highlight w:val="none"/>
        </w:rPr>
        <w:t>时至</w:t>
      </w:r>
      <w:r>
        <w:rPr>
          <w:rFonts w:hint="eastAsia" w:ascii="仿宋_GB2312" w:hAnsi="仿宋_GB2312" w:eastAsia="仿宋_GB2312" w:cs="仿宋_GB2312"/>
          <w:sz w:val="32"/>
          <w:szCs w:val="32"/>
          <w:highlight w:val="none"/>
          <w:lang w:val="en-US" w:eastAsia="zh-CN"/>
        </w:rPr>
        <w:t>2021年11月19日10</w:t>
      </w:r>
      <w:r>
        <w:rPr>
          <w:rFonts w:hint="eastAsia" w:ascii="仿宋_GB2312" w:hAnsi="仿宋_GB2312" w:eastAsia="仿宋_GB2312" w:cs="仿宋_GB2312"/>
          <w:sz w:val="32"/>
          <w:szCs w:val="32"/>
          <w:highlight w:val="none"/>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r>
        <w:rPr>
          <w:rFonts w:hint="eastAsia" w:ascii="仿宋_GB2312" w:hAnsi="仿宋_GB2312" w:eastAsia="仿宋_GB2312" w:cs="仿宋_GB2312"/>
          <w:sz w:val="32"/>
          <w:szCs w:val="32"/>
          <w:highlight w:val="none"/>
          <w:lang w:val="en-US" w:eastAsia="zh-CN"/>
        </w:rPr>
        <w:t>63280</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color w:val="auto"/>
          <w:kern w:val="2"/>
          <w:sz w:val="32"/>
          <w:szCs w:val="32"/>
          <w:highlight w:val="none"/>
          <w:lang w:val="en-US" w:eastAsia="zh-CN"/>
        </w:rPr>
        <w:t>5</w:t>
      </w:r>
      <w:r>
        <w:rPr>
          <w:rFonts w:hint="eastAsia" w:ascii="仿宋_GB2312" w:hAnsi="仿宋_GB2312" w:eastAsia="仿宋_GB2312" w:cs="仿宋_GB2312"/>
          <w:color w:val="auto"/>
          <w:kern w:val="2"/>
          <w:sz w:val="32"/>
          <w:szCs w:val="32"/>
          <w:highlight w:val="none"/>
        </w:rPr>
        <w:t>00</w:t>
      </w:r>
      <w:r>
        <w:rPr>
          <w:rFonts w:hint="eastAsia" w:ascii="仿宋_GB2312" w:hAnsi="仿宋_GB2312" w:eastAsia="仿宋_GB2312" w:cs="仿宋_GB2312"/>
          <w:sz w:val="32"/>
          <w:szCs w:val="32"/>
        </w:rPr>
        <w:t>万元的整数倍。</w:t>
      </w:r>
    </w:p>
    <w:p>
      <w:pPr>
        <w:spacing w:line="520" w:lineRule="exact"/>
        <w:ind w:firstLine="720" w:firstLineChars="22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val="en-US" w:eastAsia="zh-CN"/>
        </w:rPr>
        <w:t>竞买资格及要求</w:t>
      </w:r>
    </w:p>
    <w:p>
      <w:pPr>
        <w:spacing w:line="520" w:lineRule="exact"/>
        <w:ind w:firstLine="720" w:firstLineChars="225"/>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rPr>
        <w:t>中华人民共和国境内外的法人和其他组织（除法律法规另有规定外）均可申请参加竞买，但竞买申请人需具备房地产开发资质，网上挂牌交易结束后提交《房地产企业开发资质证书》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且同一企业及控股公司只允许一家企业参与竞买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rPr>
        <w:t>申请企业可以单独申请，也可以联合申请</w:t>
      </w:r>
      <w:r>
        <w:rPr>
          <w:rFonts w:hint="eastAsia" w:ascii="仿宋_GB2312" w:hAnsi="仿宋_GB2312" w:eastAsia="仿宋_GB2312" w:cs="仿宋_GB2312"/>
          <w:sz w:val="32"/>
          <w:szCs w:val="32"/>
        </w:rPr>
        <w:t>：</w:t>
      </w:r>
    </w:p>
    <w:p>
      <w:pPr>
        <w:pStyle w:val="4"/>
        <w:keepNext w:val="0"/>
        <w:keepLines w:val="0"/>
        <w:pageBreakBefore w:val="0"/>
        <w:widowControl w:val="0"/>
        <w:kinsoku/>
        <w:wordWrap/>
        <w:overflowPunct/>
        <w:topLinePunct w:val="0"/>
        <w:bidi w:val="0"/>
        <w:spacing w:before="0" w:line="560" w:lineRule="exact"/>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1、</w:t>
      </w:r>
      <w:r>
        <w:rPr>
          <w:rFonts w:hint="eastAsia" w:ascii="仿宋_GB2312" w:hAnsi="仿宋_GB2312" w:eastAsia="仿宋_GB2312" w:cs="仿宋_GB2312"/>
          <w:kern w:val="2"/>
          <w:sz w:val="32"/>
          <w:szCs w:val="32"/>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可先与竞得人签订《出让合同》，在竞得人按约定办理完新公司注册登记手续后，再与新公司签订</w:t>
      </w:r>
      <w:r>
        <w:rPr>
          <w:rFonts w:hint="eastAsia" w:ascii="Times New Roman" w:hAnsi="Times New Roman" w:eastAsia="仿宋_GB2312" w:cs="Times New Roman"/>
          <w:kern w:val="2"/>
          <w:sz w:val="32"/>
          <w:szCs w:val="32"/>
          <w:highlight w:val="none"/>
          <w:lang w:eastAsia="zh-CN" w:bidi="ar-SA"/>
        </w:rPr>
        <w:t>《</w:t>
      </w:r>
      <w:r>
        <w:rPr>
          <w:rFonts w:hint="default" w:ascii="Times New Roman" w:hAnsi="Times New Roman" w:eastAsia="仿宋_GB2312" w:cs="Times New Roman"/>
          <w:color w:val="auto"/>
          <w:kern w:val="2"/>
          <w:sz w:val="32"/>
          <w:szCs w:val="32"/>
          <w:highlight w:val="none"/>
        </w:rPr>
        <w:t>国有建设用地使用权出让合同</w:t>
      </w:r>
      <w:r>
        <w:rPr>
          <w:rFonts w:hint="eastAsia" w:ascii="Times New Roman" w:hAnsi="Times New Roman" w:eastAsia="仿宋_GB2312" w:cs="Times New Roman"/>
          <w:color w:val="auto"/>
          <w:kern w:val="2"/>
          <w:sz w:val="32"/>
          <w:szCs w:val="32"/>
          <w:highlight w:val="none"/>
          <w:lang w:eastAsia="zh-CN"/>
        </w:rPr>
        <w:t>补充条款</w:t>
      </w:r>
      <w:r>
        <w:rPr>
          <w:rFonts w:hint="default" w:ascii="Times New Roman" w:hAnsi="Times New Roman" w:eastAsia="仿宋_GB2312" w:cs="Times New Roman"/>
          <w:color w:val="auto"/>
          <w:kern w:val="2"/>
          <w:sz w:val="32"/>
          <w:szCs w:val="32"/>
          <w:highlight w:val="none"/>
        </w:rPr>
        <w:t>》</w:t>
      </w:r>
      <w:r>
        <w:rPr>
          <w:rFonts w:hint="eastAsia" w:ascii="仿宋_GB2312" w:hAnsi="仿宋_GB2312" w:eastAsia="仿宋_GB2312" w:cs="仿宋_GB2312"/>
          <w:kern w:val="2"/>
          <w:sz w:val="32"/>
          <w:szCs w:val="32"/>
        </w:rPr>
        <w:t>；也可按约定直接与新公司签订《出让合同》</w:t>
      </w:r>
      <w:r>
        <w:rPr>
          <w:rFonts w:hint="eastAsia" w:ascii="仿宋_GB2312" w:hAnsi="仿宋_GB2312" w:eastAsia="仿宋_GB2312" w:cs="仿宋_GB2312"/>
          <w:szCs w:val="32"/>
        </w:rPr>
        <w:t>。</w:t>
      </w:r>
    </w:p>
    <w:p>
      <w:pPr>
        <w:pStyle w:val="4"/>
        <w:keepNext w:val="0"/>
        <w:keepLines w:val="0"/>
        <w:pageBreakBefore w:val="0"/>
        <w:widowControl w:val="0"/>
        <w:kinsoku/>
        <w:wordWrap/>
        <w:overflowPunct/>
        <w:topLinePunct w:val="0"/>
        <w:bidi w:val="0"/>
        <w:spacing w:before="0" w:line="560" w:lineRule="exact"/>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2、</w:t>
      </w:r>
      <w:r>
        <w:rPr>
          <w:rFonts w:hint="eastAsia" w:ascii="仿宋_GB2312" w:hAnsi="仿宋_GB2312" w:eastAsia="仿宋_GB2312" w:cs="仿宋_GB2312"/>
          <w:szCs w:val="32"/>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w:t>
      </w:r>
      <w:r>
        <w:rPr>
          <w:rFonts w:hint="eastAsia" w:ascii="Times New Roman" w:hAnsi="Times New Roman" w:eastAsia="仿宋_GB2312" w:cs="Times New Roman"/>
          <w:kern w:val="2"/>
          <w:sz w:val="32"/>
          <w:szCs w:val="32"/>
          <w:highlight w:val="none"/>
          <w:lang w:eastAsia="zh-CN" w:bidi="ar-SA"/>
        </w:rPr>
        <w:t>《</w:t>
      </w:r>
      <w:r>
        <w:rPr>
          <w:rFonts w:hint="default" w:ascii="Times New Roman" w:hAnsi="Times New Roman" w:eastAsia="仿宋_GB2312" w:cs="Times New Roman"/>
          <w:color w:val="auto"/>
          <w:kern w:val="2"/>
          <w:sz w:val="32"/>
          <w:szCs w:val="32"/>
          <w:highlight w:val="none"/>
        </w:rPr>
        <w:t>国有建设用地使用权出让合同</w:t>
      </w:r>
      <w:r>
        <w:rPr>
          <w:rFonts w:hint="eastAsia" w:ascii="Times New Roman" w:hAnsi="Times New Roman" w:eastAsia="仿宋_GB2312" w:cs="Times New Roman"/>
          <w:color w:val="auto"/>
          <w:kern w:val="2"/>
          <w:sz w:val="32"/>
          <w:szCs w:val="32"/>
          <w:highlight w:val="none"/>
          <w:lang w:eastAsia="zh-CN"/>
        </w:rPr>
        <w:t>补充条款</w:t>
      </w:r>
      <w:r>
        <w:rPr>
          <w:rFonts w:hint="default" w:ascii="Times New Roman" w:hAnsi="Times New Roman" w:eastAsia="仿宋_GB2312" w:cs="Times New Roman"/>
          <w:color w:val="auto"/>
          <w:kern w:val="2"/>
          <w:sz w:val="32"/>
          <w:szCs w:val="32"/>
          <w:highlight w:val="none"/>
        </w:rPr>
        <w:t>》</w:t>
      </w:r>
      <w:r>
        <w:rPr>
          <w:rFonts w:hint="eastAsia" w:ascii="仿宋_GB2312" w:hAnsi="仿宋_GB2312" w:eastAsia="仿宋_GB2312" w:cs="仿宋_GB2312"/>
          <w:szCs w:val="32"/>
        </w:rPr>
        <w:t>；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default" w:ascii="Times New Roman" w:hAnsi="Times New Roman" w:eastAsia="仿宋_GB2312" w:cs="Times New Roman"/>
          <w:kern w:val="2"/>
          <w:sz w:val="32"/>
          <w:szCs w:val="32"/>
          <w:highlight w:val="none"/>
        </w:rPr>
      </w:pP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二</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Cs w:val="32"/>
        </w:rPr>
        <w:t>竞买</w:t>
      </w:r>
      <w:r>
        <w:rPr>
          <w:rFonts w:hint="default" w:ascii="仿宋_GB2312" w:hAnsi="仿宋_GB2312" w:eastAsia="仿宋_GB2312" w:cs="仿宋_GB2312"/>
          <w:szCs w:val="32"/>
        </w:rPr>
        <w:t>申请单位</w:t>
      </w:r>
      <w:r>
        <w:rPr>
          <w:rFonts w:hint="eastAsia" w:ascii="仿宋_GB2312" w:hAnsi="仿宋_GB2312" w:eastAsia="仿宋_GB2312" w:cs="仿宋_GB2312"/>
          <w:szCs w:val="32"/>
        </w:rPr>
        <w:t>股东不得违规对其提供借贷、转贷、担保或其他相关融资便利等。购地资金不得直接或间接使用金融机构各类融资资金，购地资金不得使用房地产产业链上下游关联企业借款或预付款，购地资金不得使用其他自然人、法人、非法人组织的借款，购地资金不得使用参与竞买申请人控制的非房地产企业融资等。竞买</w:t>
      </w:r>
      <w:r>
        <w:rPr>
          <w:rFonts w:hint="default" w:ascii="仿宋_GB2312" w:hAnsi="仿宋_GB2312" w:eastAsia="仿宋_GB2312" w:cs="仿宋_GB2312"/>
          <w:szCs w:val="32"/>
        </w:rPr>
        <w:t>申请单位</w:t>
      </w:r>
      <w:r>
        <w:rPr>
          <w:rFonts w:hint="eastAsia" w:ascii="仿宋_GB2312" w:hAnsi="仿宋_GB2312" w:eastAsia="仿宋_GB2312" w:cs="仿宋_GB2312"/>
          <w:szCs w:val="32"/>
        </w:rPr>
        <w:t>要说明购地资金来源</w:t>
      </w:r>
      <w:r>
        <w:rPr>
          <w:rFonts w:hint="eastAsia" w:ascii="仿宋_GB2312" w:hAnsi="仿宋_GB2312" w:eastAsia="仿宋_GB2312" w:cs="仿宋_GB2312"/>
          <w:szCs w:val="32"/>
          <w:lang w:eastAsia="zh-CN"/>
        </w:rPr>
        <w:t>，网上挂牌交易结束后</w:t>
      </w:r>
      <w:r>
        <w:rPr>
          <w:rFonts w:hint="eastAsia" w:ascii="仿宋_GB2312" w:hAnsi="仿宋_GB2312" w:eastAsia="仿宋_GB2312" w:cs="仿宋_GB2312"/>
          <w:szCs w:val="32"/>
        </w:rPr>
        <w:t>提</w:t>
      </w:r>
      <w:r>
        <w:rPr>
          <w:rFonts w:hint="eastAsia" w:ascii="仿宋_GB2312" w:hAnsi="仿宋_GB2312" w:eastAsia="仿宋_GB2312" w:cs="仿宋_GB2312"/>
          <w:szCs w:val="32"/>
          <w:lang w:eastAsia="zh-CN"/>
        </w:rPr>
        <w:t>交</w:t>
      </w:r>
      <w:r>
        <w:rPr>
          <w:rFonts w:hint="eastAsia" w:ascii="仿宋_GB2312" w:hAnsi="仿宋_GB2312" w:eastAsia="仿宋_GB2312" w:cs="仿宋_GB2312"/>
          <w:szCs w:val="32"/>
        </w:rPr>
        <w:t>相应证明并对上述要求作出承诺</w:t>
      </w:r>
      <w:r>
        <w:rPr>
          <w:rFonts w:hint="default" w:ascii="仿宋_GB2312" w:hAnsi="仿宋_GB2312" w:eastAsia="仿宋_GB2312" w:cs="仿宋_GB2312"/>
          <w:szCs w:val="32"/>
          <w:lang w:val="en-US" w:eastAsia="zh-CN"/>
        </w:rPr>
        <w:t>。</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Cs w:val="32"/>
        </w:rPr>
        <w:t>对于经审查资金来源不符合要求的，根据情况采取取消参与资格竞买、取消竞得资格、解除土地出让合同或收回已出让土地等措施，竞买保证金不予返还，一年内不得在惠州市参加土地竞买</w:t>
      </w:r>
      <w:r>
        <w:rPr>
          <w:rFonts w:hint="eastAsia" w:ascii="仿宋_GB2312" w:hAnsi="仿宋_GB2312" w:eastAsia="仿宋_GB2312" w:cs="仿宋_GB2312"/>
          <w:kern w:val="2"/>
          <w:sz w:val="32"/>
          <w:szCs w:val="32"/>
          <w:lang w:val="en-US" w:eastAsia="zh-CN" w:bidi="ar-SA"/>
        </w:rPr>
        <w:t>。</w:t>
      </w:r>
    </w:p>
    <w:p>
      <w:pPr>
        <w:pStyle w:val="4"/>
        <w:keepNext w:val="0"/>
        <w:keepLines w:val="0"/>
        <w:pageBreakBefore w:val="0"/>
        <w:widowControl w:val="0"/>
        <w:kinsoku/>
        <w:wordWrap/>
        <w:overflowPunct/>
        <w:topLinePunct w:val="0"/>
        <w:autoSpaceDE/>
        <w:autoSpaceDN/>
        <w:bidi w:val="0"/>
        <w:spacing w:before="0" w:line="560" w:lineRule="exact"/>
        <w:jc w:val="both"/>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五</w:t>
      </w:r>
      <w:r>
        <w:rPr>
          <w:rFonts w:hint="eastAsia" w:ascii="仿宋_GB2312" w:hAnsi="仿宋_GB2312" w:eastAsia="仿宋_GB2312" w:cs="仿宋_GB2312"/>
          <w:szCs w:val="32"/>
        </w:rPr>
        <w:t>、该宗地竞买保证金可用人民币及外币（暂限于美元、港币）支付</w:t>
      </w:r>
      <w:r>
        <w:rPr>
          <w:rFonts w:hint="eastAsia" w:ascii="仿宋_GB2312" w:hAnsi="仿宋_GB2312" w:eastAsia="仿宋_GB2312" w:cs="仿宋_GB2312"/>
          <w:szCs w:val="32"/>
          <w:lang w:eastAsia="zh-CN"/>
        </w:rPr>
        <w:t>。</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六</w:t>
      </w:r>
      <w:r>
        <w:rPr>
          <w:rFonts w:hint="eastAsia" w:ascii="仿宋_GB2312" w:hAnsi="仿宋_GB2312" w:eastAsia="仿宋_GB2312" w:cs="仿宋_GB2312"/>
          <w:szCs w:val="32"/>
        </w:rPr>
        <w:t>、申请人应具备的其他条件：</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一）缴交竞买保证金18984万元人民币，如以外币缴交竞买保证金的，须缴交美元2939万元、港币22879万元</w:t>
      </w:r>
      <w:r>
        <w:rPr>
          <w:rFonts w:hint="eastAsia" w:ascii="仿宋_GB2312" w:hAnsi="仿宋_GB2312" w:eastAsia="仿宋_GB2312" w:cs="仿宋_GB2312"/>
          <w:szCs w:val="32"/>
        </w:rPr>
        <w:t>。</w:t>
      </w:r>
    </w:p>
    <w:p>
      <w:pPr>
        <w:keepNext w:val="0"/>
        <w:keepLines w:val="0"/>
        <w:pageBreakBefore w:val="0"/>
        <w:widowControl/>
        <w:kinsoku/>
        <w:wordWrap/>
        <w:overflowPunct/>
        <w:topLinePunct w:val="0"/>
        <w:autoSpaceDE/>
        <w:autoSpaceDN/>
        <w:bidi w:val="0"/>
        <w:spacing w:line="640" w:lineRule="atLeast"/>
        <w:ind w:firstLine="640" w:firstLineChars="200"/>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（二）存在下列违法违规违约行为之一的企业及其控股股东，不得参与竞买上述地块：</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1、存在伪造公文骗取用地和非法倒卖土地等犯罪行为的；</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2、存在非法转让土地使用权等违法行为的；</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3、因企业原因造成土地闲置一年以上且至报名日止未处罚完结的；</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4、开发建设企业有违背出让合同约定条件开发利用土地情形且至报名日止未处罚完结的；</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5、至报名日止仍拖欠政府地价款的;</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6、被列入问题楼盘开发企业黑名单的;</w:t>
      </w:r>
    </w:p>
    <w:p>
      <w:pPr>
        <w:keepNext w:val="0"/>
        <w:keepLines w:val="0"/>
        <w:pageBreakBefore w:val="0"/>
        <w:kinsoku/>
        <w:wordWrap/>
        <w:overflowPunct/>
        <w:topLinePunct w:val="0"/>
        <w:autoSpaceDE/>
        <w:autoSpaceDN/>
        <w:bidi w:val="0"/>
        <w:spacing w:line="640" w:lineRule="atLeast"/>
        <w:ind w:firstLine="627" w:firstLineChars="196"/>
        <w:jc w:val="both"/>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lang w:val="en-US" w:eastAsia="zh-CN"/>
        </w:rPr>
        <w:t>7、购地资金超过“三道红线”，存在重大失信行为的</w:t>
      </w:r>
      <w:r>
        <w:rPr>
          <w:rFonts w:hint="eastAsia" w:ascii="仿宋_GB2312" w:hAnsi="仿宋_GB2312" w:eastAsia="仿宋_GB2312" w:cs="仿宋_GB2312"/>
          <w:color w:val="auto"/>
          <w:kern w:val="2"/>
          <w:sz w:val="32"/>
          <w:szCs w:val="32"/>
          <w:highlight w:val="none"/>
        </w:rPr>
        <w:t>；</w:t>
      </w:r>
    </w:p>
    <w:p>
      <w:pPr>
        <w:pStyle w:val="4"/>
        <w:keepNext w:val="0"/>
        <w:keepLines w:val="0"/>
        <w:pageBreakBefore w:val="0"/>
        <w:widowControl w:val="0"/>
        <w:kinsoku/>
        <w:wordWrap/>
        <w:overflowPunct/>
        <w:topLinePunct w:val="0"/>
        <w:bidi w:val="0"/>
        <w:spacing w:before="0" w:line="560" w:lineRule="exact"/>
        <w:jc w:val="both"/>
        <w:textAlignment w:val="auto"/>
        <w:rPr>
          <w:rFonts w:hint="eastAsia" w:ascii="仿宋_GB2312" w:hAnsi="仿宋_GB2312" w:eastAsia="仿宋_GB2312" w:cs="仿宋_GB2312"/>
          <w:szCs w:val="32"/>
        </w:rPr>
      </w:pPr>
      <w:r>
        <w:rPr>
          <w:rFonts w:hint="eastAsia" w:ascii="仿宋_GB2312" w:hAnsi="仿宋_GB2312" w:eastAsia="仿宋_GB2312" w:cs="仿宋_GB2312"/>
          <w:color w:val="auto"/>
          <w:kern w:val="2"/>
          <w:sz w:val="32"/>
          <w:szCs w:val="32"/>
          <w:highlight w:val="none"/>
          <w:lang w:val="en-US" w:eastAsia="zh-CN"/>
        </w:rPr>
        <w:t>8、</w:t>
      </w:r>
      <w:r>
        <w:rPr>
          <w:rFonts w:hint="eastAsia" w:ascii="仿宋_GB2312" w:hAnsi="仿宋_GB2312" w:eastAsia="仿宋_GB2312" w:cs="仿宋_GB2312"/>
          <w:color w:val="auto"/>
          <w:kern w:val="2"/>
          <w:sz w:val="32"/>
          <w:szCs w:val="32"/>
          <w:highlight w:val="none"/>
        </w:rPr>
        <w:t>存在其它被禁止竞买土地行为的</w:t>
      </w:r>
      <w:r>
        <w:rPr>
          <w:rFonts w:hint="eastAsia" w:ascii="仿宋_GB2312" w:hAnsi="仿宋_GB2312" w:eastAsia="仿宋_GB2312" w:cs="仿宋_GB231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、本次国有建设用地使用权网上挂牌</w:t>
      </w:r>
      <w:r>
        <w:rPr>
          <w:rFonts w:hint="eastAsia" w:ascii="仿宋_GB2312" w:hAnsi="仿宋_GB2312" w:eastAsia="仿宋_GB2312" w:cs="仿宋_GB2312"/>
          <w:color w:val="auto"/>
          <w:sz w:val="32"/>
          <w:szCs w:val="32"/>
          <w:highlight w:val="none"/>
        </w:rPr>
        <w:t>竞价达到</w:t>
      </w:r>
      <w:r>
        <w:rPr>
          <w:rFonts w:hint="eastAsia" w:ascii="仿宋_GB2312" w:hAnsi="仿宋_GB2312" w:eastAsia="仿宋_GB2312" w:cs="仿宋_GB2312"/>
          <w:color w:val="000000"/>
          <w:sz w:val="32"/>
          <w:szCs w:val="32"/>
          <w:lang w:val="en-US" w:eastAsia="zh-CN"/>
        </w:rPr>
        <w:t>72772</w:t>
      </w:r>
      <w:r>
        <w:rPr>
          <w:rFonts w:hint="eastAsia" w:ascii="仿宋_GB2312" w:hAnsi="仿宋_GB2312" w:eastAsia="仿宋_GB2312" w:cs="仿宋_GB2312"/>
          <w:color w:val="auto"/>
          <w:sz w:val="32"/>
          <w:szCs w:val="32"/>
          <w:highlight w:val="none"/>
        </w:rPr>
        <w:t>万元时，</w:t>
      </w:r>
      <w:r>
        <w:rPr>
          <w:rFonts w:hint="eastAsia" w:ascii="仿宋_GB2312" w:hAnsi="仿宋_GB2312" w:eastAsia="仿宋_GB2312" w:cs="仿宋_GB2312"/>
          <w:color w:val="auto"/>
          <w:sz w:val="32"/>
          <w:szCs w:val="32"/>
          <w:highlight w:val="none"/>
          <w:lang w:val="en-US" w:eastAsia="zh-CN"/>
        </w:rPr>
        <w:t>转为采取</w:t>
      </w:r>
      <w:r>
        <w:rPr>
          <w:rFonts w:hint="eastAsia" w:ascii="仿宋_GB2312" w:hAnsi="仿宋_GB2312" w:eastAsia="仿宋_GB2312" w:cs="仿宋_GB2312"/>
          <w:color w:val="auto"/>
          <w:sz w:val="32"/>
          <w:szCs w:val="32"/>
          <w:highlight w:val="none"/>
        </w:rPr>
        <w:t>摇号方式确定竞得人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、申请人应当在网上挂牌出让结束前</w:t>
      </w:r>
      <w:r>
        <w:rPr>
          <w:rFonts w:hint="eastAsia" w:ascii="仿宋_GB2312" w:hAnsi="仿宋_GB2312" w:eastAsia="仿宋_GB2312" w:cs="仿宋_GB2312"/>
          <w:sz w:val="32"/>
          <w:szCs w:val="32"/>
          <w:lang w:eastAsia="zh-CN"/>
        </w:rPr>
        <w:t>登录</w:t>
      </w:r>
      <w:r>
        <w:rPr>
          <w:rFonts w:hint="eastAsia" w:ascii="仿宋_GB2312" w:hAnsi="仿宋_GB2312" w:eastAsia="仿宋_GB2312" w:cs="仿宋_GB2312"/>
          <w:sz w:val="32"/>
          <w:szCs w:val="32"/>
        </w:rPr>
        <w:t>惠州市公共资源交易中心土地与矿业网上挂牌交易系统并在系统上向惠州市公共资源交易中心提交竞买申请并支付保证金。网上挂牌保证金到账截止时间</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2021年11月19日上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w:t>
      </w:r>
      <w:r>
        <w:rPr>
          <w:rFonts w:hint="eastAsia" w:ascii="仿宋_GB2312" w:hAnsi="仿宋_GB2312" w:eastAsia="仿宋_GB2312" w:cs="仿宋_GB2312"/>
          <w:sz w:val="32"/>
          <w:szCs w:val="32"/>
          <w:lang w:bidi="ar-SA"/>
        </w:rPr>
        <w:t>。</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w:t>
      </w:r>
      <w:r>
        <w:rPr>
          <w:rFonts w:hint="eastAsia" w:ascii="仿宋_GB2312" w:hAnsi="仿宋_GB2312" w:eastAsia="仿宋_GB2312" w:cs="仿宋_GB2312"/>
          <w:sz w:val="32"/>
          <w:szCs w:val="32"/>
          <w:highlight w:val="none"/>
          <w:lang w:val="en-US" w:eastAsia="zh-CN"/>
        </w:rPr>
        <w:t>交价的</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sz w:val="32"/>
          <w:szCs w:val="32"/>
          <w:highlight w:val="none"/>
          <w:lang w:val="en-US" w:eastAsia="zh-CN"/>
        </w:rPr>
        <w:t>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不足以缴纳定金，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的预付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w:t>
      </w:r>
      <w:r>
        <w:rPr>
          <w:rFonts w:hint="eastAsia" w:ascii="仿宋_GB2312" w:hAnsi="仿宋_GB2312" w:eastAsia="仿宋_GB2312" w:cs="仿宋_GB2312"/>
          <w:sz w:val="32"/>
          <w:szCs w:val="32"/>
        </w:rPr>
        <w:t>余额转作土地成交价款。</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以外币缴交竞买保证金的，扣除定金后余额部分返回给竞得人，待竞得人按时缴清土地成交价款后，再将定金退还，不计利息。</w:t>
      </w:r>
    </w:p>
    <w:p>
      <w:pPr>
        <w:keepNext w:val="0"/>
        <w:keepLines w:val="0"/>
        <w:pageBreakBefore w:val="0"/>
        <w:kinsoku/>
        <w:wordWrap/>
        <w:overflowPunct/>
        <w:topLinePunct w:val="0"/>
        <w:autoSpaceDE/>
        <w:autoSpaceDN/>
        <w:bidi w:val="0"/>
        <w:spacing w:line="640" w:lineRule="atLeas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、其它需要公告的事项</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（一）该地块所建单套毛坯</w:t>
      </w:r>
      <w:r>
        <w:rPr>
          <w:rFonts w:hint="eastAsia" w:ascii="仿宋_GB2312" w:hAnsi="仿宋_GB2312" w:eastAsia="仿宋_GB2312" w:cs="仿宋_GB2312"/>
          <w:color w:val="auto"/>
          <w:sz w:val="32"/>
          <w:szCs w:val="32"/>
          <w:highlight w:val="none"/>
          <w:lang w:val="en-US" w:eastAsia="zh-CN"/>
        </w:rPr>
        <w:t>商品住宅</w:t>
      </w:r>
      <w:r>
        <w:rPr>
          <w:rFonts w:hint="eastAsia" w:ascii="仿宋_GB2312" w:hAnsi="仿宋_GB2312" w:eastAsia="仿宋_GB2312" w:cs="仿宋_GB2312"/>
          <w:color w:val="auto"/>
          <w:sz w:val="32"/>
          <w:szCs w:val="32"/>
          <w:highlight w:val="none"/>
        </w:rPr>
        <w:t>销售单价</w:t>
      </w:r>
      <w:r>
        <w:rPr>
          <w:rFonts w:hint="eastAsia" w:ascii="仿宋_GB2312" w:hAnsi="仿宋_GB2312" w:eastAsia="仿宋_GB2312" w:cs="仿宋_GB2312"/>
          <w:color w:val="auto"/>
          <w:sz w:val="32"/>
          <w:szCs w:val="32"/>
          <w:highlight w:val="none"/>
          <w:lang w:val="en-US" w:eastAsia="zh-CN"/>
        </w:rPr>
        <w:t>不高于15594</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rPr>
        <w:t>开发投资总额不少于</w:t>
      </w:r>
      <w:r>
        <w:rPr>
          <w:rFonts w:hint="eastAsia" w:ascii="仿宋_GB2312" w:hAnsi="仿宋_GB2312" w:eastAsia="仿宋_GB2312" w:cs="仿宋_GB2312"/>
          <w:sz w:val="32"/>
          <w:szCs w:val="32"/>
          <w:lang w:val="en-US" w:eastAsia="zh-CN"/>
        </w:rPr>
        <w:t>107490</w:t>
      </w:r>
      <w:r>
        <w:rPr>
          <w:rFonts w:hint="eastAsia" w:ascii="仿宋_GB2312" w:hAnsi="仿宋_GB2312" w:eastAsia="仿宋_GB2312" w:cs="仿宋_GB2312"/>
          <w:sz w:val="32"/>
          <w:szCs w:val="32"/>
        </w:rPr>
        <w:t>万元（含地价,不含地价溢价部分）</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）土地成交价款须以人民币支付,竞得人在签订《出让合同》之日起30日内付清全部成交价款。</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kern w:val="2"/>
          <w:sz w:val="32"/>
          <w:szCs w:val="32"/>
          <w:lang w:val="en-US" w:eastAsia="zh-CN" w:bidi="ar-SA"/>
        </w:rPr>
        <w:t>竞得人在用</w:t>
      </w:r>
      <w:r>
        <w:rPr>
          <w:rFonts w:hint="eastAsia" w:ascii="仿宋_GB2312" w:hAnsi="仿宋_GB2312" w:eastAsia="仿宋_GB2312" w:cs="仿宋_GB2312"/>
          <w:kern w:val="2"/>
          <w:sz w:val="32"/>
          <w:szCs w:val="32"/>
        </w:rPr>
        <w:t>地红线内开发建设必须符合城市规划要求，必须按《</w:t>
      </w:r>
      <w:r>
        <w:rPr>
          <w:rFonts w:hint="eastAsia" w:ascii="仿宋_GB2312" w:hAnsi="宋体" w:eastAsia="仿宋_GB2312" w:cs="宋体"/>
          <w:color w:val="auto"/>
          <w:kern w:val="0"/>
          <w:sz w:val="32"/>
          <w:szCs w:val="32"/>
          <w:lang w:val="en-US" w:eastAsia="zh-CN" w:bidi="ar-SA"/>
        </w:rPr>
        <w:t>规划设计条件告知书</w:t>
      </w:r>
      <w:r>
        <w:rPr>
          <w:rFonts w:hint="eastAsia" w:ascii="仿宋_GB2312" w:hAnsi="仿宋_GB2312" w:eastAsia="仿宋_GB2312" w:cs="仿宋_GB2312"/>
          <w:kern w:val="2"/>
          <w:sz w:val="32"/>
          <w:szCs w:val="32"/>
        </w:rPr>
        <w:t>》（案卷编号：</w:t>
      </w:r>
      <w:r>
        <w:rPr>
          <w:rFonts w:hint="eastAsia" w:ascii="仿宋_GB2312" w:hAnsi="仿宋_GB2312" w:eastAsia="仿宋_GB2312" w:cs="仿宋_GB2312"/>
          <w:kern w:val="2"/>
          <w:sz w:val="32"/>
          <w:szCs w:val="32"/>
          <w:lang w:eastAsia="zh-CN"/>
        </w:rPr>
        <w:t>PB202</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lang w:eastAsia="zh-CN"/>
        </w:rPr>
        <w:t>0</w:t>
      </w:r>
      <w:r>
        <w:rPr>
          <w:rFonts w:hint="eastAsia" w:ascii="仿宋_GB2312" w:hAnsi="仿宋_GB2312" w:eastAsia="仿宋_GB2312" w:cs="仿宋_GB2312"/>
          <w:kern w:val="2"/>
          <w:sz w:val="32"/>
          <w:szCs w:val="32"/>
          <w:lang w:val="en-US" w:eastAsia="zh-CN"/>
        </w:rPr>
        <w:t>085</w:t>
      </w:r>
      <w:r>
        <w:rPr>
          <w:rFonts w:hint="eastAsia" w:ascii="仿宋_GB2312" w:hAnsi="仿宋_GB2312" w:eastAsia="仿宋_GB2312" w:cs="仿宋_GB2312"/>
          <w:kern w:val="2"/>
          <w:sz w:val="32"/>
          <w:szCs w:val="32"/>
        </w:rPr>
        <w:t>）规划控制指标要求及有关规定进行规划设计</w:t>
      </w:r>
      <w:r>
        <w:rPr>
          <w:rFonts w:hint="eastAsia" w:ascii="仿宋_GB2312" w:hAnsi="仿宋_GB2312" w:eastAsia="仿宋_GB2312" w:cs="仿宋_GB2312"/>
          <w:sz w:val="32"/>
          <w:szCs w:val="32"/>
          <w:lang w:bidi="ar-SA"/>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highlight w:val="none"/>
          <w:lang w:eastAsia="zh-CN" w:bidi="ar-SA"/>
        </w:rPr>
        <w:t>（五）</w:t>
      </w:r>
      <w:r>
        <w:rPr>
          <w:rFonts w:hint="eastAsia" w:ascii="仿宋_GB2312" w:hAnsi="仿宋_GB2312" w:eastAsia="仿宋_GB2312" w:cs="仿宋_GB2312"/>
          <w:kern w:val="2"/>
          <w:sz w:val="32"/>
          <w:szCs w:val="32"/>
        </w:rPr>
        <w:t>该地属政府储备地，没有法律经济纠纷，具备动工开发所必须的基本条件</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竞得人须按《</w:t>
      </w:r>
      <w:r>
        <w:rPr>
          <w:rFonts w:hint="eastAsia" w:ascii="仿宋_GB2312" w:hAnsi="宋体" w:eastAsia="仿宋_GB2312" w:cs="宋体"/>
          <w:color w:val="auto"/>
          <w:kern w:val="0"/>
          <w:sz w:val="32"/>
          <w:szCs w:val="32"/>
          <w:lang w:val="en-US" w:eastAsia="zh-CN" w:bidi="ar-SA"/>
        </w:rPr>
        <w:t>规划设计条件告知书</w:t>
      </w:r>
      <w:r>
        <w:rPr>
          <w:rFonts w:hint="eastAsia" w:ascii="仿宋_GB2312" w:hAnsi="仿宋_GB2312" w:eastAsia="仿宋_GB2312" w:cs="仿宋_GB2312"/>
          <w:sz w:val="32"/>
          <w:szCs w:val="32"/>
        </w:rPr>
        <w:t>》（案卷编号：</w:t>
      </w:r>
      <w:r>
        <w:rPr>
          <w:rFonts w:hint="eastAsia" w:ascii="仿宋_GB2312" w:hAnsi="仿宋_GB2312" w:eastAsia="仿宋_GB2312" w:cs="仿宋_GB2312"/>
          <w:sz w:val="32"/>
          <w:szCs w:val="32"/>
          <w:lang w:eastAsia="zh-CN"/>
        </w:rPr>
        <w:t>PB202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lang w:val="en-US" w:eastAsia="zh-CN"/>
        </w:rPr>
        <w:t>085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要求配建相关配套设施</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2"/>
          <w:sz w:val="32"/>
          <w:szCs w:val="32"/>
          <w:highlight w:val="none"/>
          <w:lang w:val="en-US" w:eastAsia="zh-CN"/>
        </w:rPr>
        <w:t>竞得人须根据《关于明确惠城区高新园三栋中心园南部片区B-10-01-05地块配建人才房建设要求的函》（惠城园函〔2021〕83号）要求配建人才房计容总建筑面积不少于10800平方米，单套人才房建筑面积60至100平方米，户型分为一房一厅一卫、两房一厅一卫、三房两厅一卫共三类，南北通透或东南朝向，并按照该地块《规划设计条件告知书》配建停车位等，具体设计方案须经区高新园管委会确认后，与B-10-01-04地块同步报建</w:t>
      </w:r>
      <w:r>
        <w:rPr>
          <w:rFonts w:hint="default" w:ascii="仿宋_GB2312" w:hAnsi="仿宋_GB2312" w:eastAsia="仿宋_GB2312" w:cs="仿宋_GB2312"/>
          <w:color w:val="auto"/>
          <w:kern w:val="2"/>
          <w:sz w:val="32"/>
          <w:szCs w:val="32"/>
          <w:highlight w:val="none"/>
          <w:lang w:val="en-US" w:eastAsia="zh-CN"/>
        </w:rPr>
        <w:t>同步</w:t>
      </w:r>
      <w:r>
        <w:rPr>
          <w:rFonts w:hint="eastAsia" w:ascii="仿宋_GB2312" w:hAnsi="仿宋_GB2312" w:eastAsia="仿宋_GB2312" w:cs="仿宋_GB2312"/>
          <w:color w:val="auto"/>
          <w:kern w:val="2"/>
          <w:sz w:val="32"/>
          <w:szCs w:val="32"/>
          <w:highlight w:val="none"/>
          <w:lang w:val="en-US" w:eastAsia="zh-CN"/>
        </w:rPr>
        <w:t>建设。该人才房工程竣工验收合格后，须将宗地用地、建筑物及配套设施、设备和附属物（含完整的工程档案资料）产权一并无偿移交区属国有企业，交付时间不得晚于B-10-01-04地块工程或其首期工程交付时间。竞得人在竞得地块后须先与</w:t>
      </w:r>
      <w:r>
        <w:rPr>
          <w:rFonts w:hint="eastAsia" w:ascii="Times New Roman" w:hAnsi="Times New Roman" w:eastAsia="仿宋_GB2312" w:cs="Times New Roman"/>
          <w:color w:val="auto"/>
          <w:kern w:val="2"/>
          <w:sz w:val="32"/>
          <w:szCs w:val="32"/>
          <w:highlight w:val="none"/>
          <w:lang w:val="en-US" w:eastAsia="zh-CN"/>
        </w:rPr>
        <w:t>区属国有企业签订人才房建设与移交协议后方可与区自然资源局签订《国有建设用地使用权出让合同》。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rPr>
        <w:t>竞得人须按规划要求承担B-10-01-04、B-10-01-05地块内的密路网（包括雨水管、污水管、电力电缆沟和通信电缆沟）的建设，建成后无偿交给市政府相关部门并开放给公众使用，密路网建设应与B-10-01-04同步规划设计、同步建设、同步验收交付使用。</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kern w:val="2"/>
          <w:sz w:val="32"/>
          <w:szCs w:val="32"/>
          <w:lang w:val="en-US" w:eastAsia="zh-CN"/>
        </w:rPr>
        <w:t>九</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2"/>
          <w:sz w:val="32"/>
          <w:szCs w:val="32"/>
          <w:highlight w:val="none"/>
          <w:lang w:val="en-US" w:eastAsia="zh-CN"/>
        </w:rPr>
        <w:t>竞得人须按规划要求承担B-10-01-06地块内幼儿园建设工作，须与B-10-01-04地块同步规划设计、同步建设、同步验收交付使用，如B-10-01-04分期建设，幼儿园应纳入首期工程。在办理用地手续时，应在出让合同中明确由B-10-01-04地块使用权者按照规划要求和惠城区教育局提出的建设标准完成配套幼儿园建设并无偿移交惠城区教育局</w:t>
      </w:r>
      <w:r>
        <w:rPr>
          <w:rFonts w:hint="eastAsia" w:ascii="仿宋_GB2312" w:hAnsi="仿宋_GB2312" w:eastAsia="仿宋_GB2312" w:cs="仿宋_GB2312"/>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（十）竞得人有下列行为之一的，取消竞得人资格，竞买保证金不予退还,并由有关部门依法处理;造成损失的，竞得人还应依法承担赔偿责任：</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1、不符合竞买资格条件的；</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2、采取行贿、恶意串通等非法手段竞得的；</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3、竞得人以其他非法手段竞得的；</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4、竞得人逾期或拒绝签订《成交确认书》的；</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5、竞得人逾期或拒绝签订《出让合同》的；</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）挂牌出让价款不含应由竞得人缴纳的契税、印花税等有关费用</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kern w:val="2"/>
          <w:sz w:val="32"/>
          <w:szCs w:val="32"/>
          <w:highlight w:val="yellow"/>
          <w:lang w:val="en-US" w:eastAsia="zh-CN" w:bidi="ar-SA"/>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惠州市惠城区自然资源局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kern w:val="2"/>
          <w:sz w:val="32"/>
          <w:szCs w:val="32"/>
          <w:highlight w:val="yellow"/>
          <w:lang w:val="en-US" w:eastAsia="zh-CN" w:bidi="ar-SA"/>
        </w:rPr>
      </w:pPr>
      <w:r>
        <w:rPr>
          <w:rFonts w:hint="eastAsia" w:ascii="仿宋_GB2312" w:hAnsi="仿宋_GB2312" w:eastAsia="仿宋_GB2312" w:cs="仿宋_GB2312"/>
          <w:color w:val="auto"/>
          <w:sz w:val="32"/>
          <w:szCs w:val="32"/>
        </w:rPr>
        <w:t>地址：</w:t>
      </w:r>
      <w:r>
        <w:rPr>
          <w:rFonts w:hint="default" w:ascii="Times New Roman" w:hAnsi="Times New Roman" w:eastAsia="仿宋_GB2312" w:cs="Times New Roman"/>
          <w:sz w:val="32"/>
          <w:szCs w:val="32"/>
        </w:rPr>
        <w:t>惠州市</w:t>
      </w:r>
      <w:r>
        <w:rPr>
          <w:rFonts w:hint="eastAsia" w:ascii="Times New Roman" w:hAnsi="Times New Roman" w:eastAsia="仿宋_GB2312" w:cs="Times New Roman"/>
          <w:sz w:val="32"/>
          <w:szCs w:val="32"/>
          <w:lang w:val="en-US" w:eastAsia="zh-CN"/>
        </w:rPr>
        <w:t>惠城区下埔路16号</w:t>
      </w:r>
    </w:p>
    <w:p>
      <w:pPr>
        <w:spacing w:line="520" w:lineRule="exact"/>
        <w:ind w:right="640" w:firstLine="640" w:firstLineChars="200"/>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联系人：</w:t>
      </w:r>
      <w:r>
        <w:rPr>
          <w:rFonts w:hint="eastAsia" w:eastAsia="仿宋_GB2312" w:cs="Times New Roman"/>
          <w:sz w:val="32"/>
          <w:szCs w:val="32"/>
          <w:highlight w:val="none"/>
          <w:lang w:val="en-US" w:eastAsia="zh-CN"/>
        </w:rPr>
        <w:t>陈</w:t>
      </w:r>
      <w:r>
        <w:rPr>
          <w:rFonts w:hint="default" w:ascii="Times New Roman" w:hAnsi="Times New Roman" w:eastAsia="仿宋_GB2312" w:cs="Times New Roman"/>
          <w:sz w:val="32"/>
          <w:szCs w:val="32"/>
          <w:highlight w:val="none"/>
          <w:lang w:val="en-US" w:eastAsia="zh-CN"/>
        </w:rPr>
        <w:t>工</w:t>
      </w:r>
    </w:p>
    <w:p>
      <w:pPr>
        <w:spacing w:line="520" w:lineRule="exact"/>
        <w:ind w:right="640" w:firstLine="640" w:firstLineChars="200"/>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rPr>
        <w:t>联系电话：</w:t>
      </w:r>
      <w:r>
        <w:rPr>
          <w:rFonts w:hint="default" w:ascii="仿宋_GB2312" w:hAnsi="仿宋_GB2312" w:eastAsia="仿宋_GB2312" w:cs="仿宋_GB2312"/>
          <w:color w:val="auto"/>
          <w:kern w:val="2"/>
          <w:sz w:val="32"/>
          <w:szCs w:val="32"/>
          <w:highlight w:val="none"/>
          <w:lang w:val="en-US" w:eastAsia="zh-CN" w:bidi="ar-SA"/>
        </w:rPr>
        <w:t>（0752）</w:t>
      </w:r>
      <w:r>
        <w:rPr>
          <w:rFonts w:hint="eastAsia" w:ascii="仿宋_GB2312" w:hAnsi="仿宋_GB2312" w:eastAsia="仿宋_GB2312" w:cs="仿宋_GB2312"/>
          <w:color w:val="auto"/>
          <w:kern w:val="2"/>
          <w:sz w:val="32"/>
          <w:szCs w:val="32"/>
          <w:highlight w:val="none"/>
          <w:lang w:val="en-US" w:eastAsia="zh-CN" w:bidi="ar-SA"/>
        </w:rPr>
        <w:t>2117378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惠州市公共资源交易中心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w:t>
      </w:r>
      <w:r>
        <w:rPr>
          <w:rFonts w:hint="eastAsia" w:ascii="仿宋_GB2312" w:hAnsi="仿宋_GB2312" w:eastAsia="仿宋_GB2312" w:cs="仿宋_GB2312"/>
          <w:sz w:val="32"/>
          <w:szCs w:val="32"/>
          <w:lang w:val="en-US" w:eastAsia="zh-CN"/>
        </w:rPr>
        <w:t>惠城区三新北路31号市民服务中心3号楼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袁小姐、杨小姐</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color w:val="auto"/>
          <w:kern w:val="2"/>
          <w:sz w:val="32"/>
          <w:szCs w:val="32"/>
          <w:highlight w:val="none"/>
          <w:lang w:val="en-US" w:eastAsia="zh-CN" w:bidi="ar-SA"/>
        </w:rPr>
        <w:t>（0752）7121026、7121036</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hint="eastAsia" w:ascii="仿宋_GB2312" w:hAnsi="仿宋_GB2312" w:eastAsia="仿宋_GB2312" w:cs="仿宋_GB2312"/>
          <w:color w:val="696969"/>
          <w:sz w:val="32"/>
          <w:szCs w:val="32"/>
        </w:rPr>
      </w:pPr>
      <w:r>
        <w:rPr>
          <w:rFonts w:hint="eastAsia" w:ascii="仿宋_GB2312" w:hAnsi="仿宋_GB2312" w:eastAsia="仿宋_GB2312" w:cs="仿宋_GB2312"/>
          <w:sz w:val="32"/>
          <w:szCs w:val="32"/>
        </w:rPr>
        <w:t>数字证书办理地址：广东省惠州市惠城区三新北路31号市民服务中心3号楼惠州市公共资源交易中心一楼大厅1号土地与矿业交易窗口</w:t>
      </w:r>
      <w:r>
        <w:rPr>
          <w:rFonts w:hint="eastAsia" w:ascii="仿宋_GB2312" w:hAnsi="仿宋_GB2312" w:eastAsia="仿宋_GB2312" w:cs="仿宋_GB2312"/>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罗工</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sz w:val="32"/>
          <w:szCs w:val="32"/>
        </w:rPr>
        <w:t>0752-7121029</w:t>
      </w: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color w:val="auto"/>
          <w:kern w:val="2"/>
          <w:sz w:val="32"/>
          <w:szCs w:val="32"/>
          <w:highlight w:val="none"/>
          <w:lang w:val="en-US" w:eastAsia="zh-CN" w:bidi="ar-SA"/>
        </w:rPr>
        <w:t>惠州市自然资源局</w:t>
      </w: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惠州市公共资源交易中心</w:t>
      </w:r>
    </w:p>
    <w:p>
      <w:pPr>
        <w:keepNext w:val="0"/>
        <w:keepLines w:val="0"/>
        <w:pageBreakBefore w:val="0"/>
        <w:widowControl w:val="0"/>
        <w:kinsoku/>
        <w:wordWrap/>
        <w:overflowPunct/>
        <w:topLinePunct w:val="0"/>
        <w:bidi w:val="0"/>
        <w:spacing w:line="560" w:lineRule="exact"/>
        <w:ind w:firstLine="5120" w:firstLineChars="1600"/>
        <w:jc w:val="both"/>
        <w:textAlignment w:val="auto"/>
        <w:rPr>
          <w:rFonts w:hint="eastAsia" w:ascii="仿宋_GB2312" w:hAnsi="仿宋_GB2312" w:eastAsia="仿宋_GB2312" w:cs="仿宋_GB2312"/>
          <w:sz w:val="32"/>
          <w:szCs w:val="32"/>
          <w:highlight w:val="none"/>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color w:val="auto"/>
          <w:kern w:val="2"/>
          <w:sz w:val="32"/>
          <w:szCs w:val="32"/>
          <w:highlight w:val="none"/>
          <w:lang w:val="en-US" w:eastAsia="zh-CN" w:bidi="ar-SA"/>
        </w:rPr>
        <w:t>2021年10月15日</w:t>
      </w:r>
    </w:p>
    <w:p>
      <w:pPr>
        <w:spacing w:line="360" w:lineRule="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附表</w:t>
      </w:r>
    </w:p>
    <w:p>
      <w:pPr>
        <w:tabs>
          <w:tab w:val="left" w:pos="9720"/>
        </w:tabs>
        <w:spacing w:line="360" w:lineRule="auto"/>
        <w:jc w:val="center"/>
        <w:rPr>
          <w:rFonts w:hint="default" w:ascii="Times New Roman" w:hAnsi="Times New Roman" w:eastAsia="方正小标宋_GBK" w:cs="Times New Roman"/>
          <w:b/>
          <w:sz w:val="36"/>
          <w:szCs w:val="36"/>
        </w:rPr>
      </w:pPr>
      <w:r>
        <w:rPr>
          <w:rFonts w:hint="default" w:ascii="Times New Roman" w:hAnsi="Times New Roman" w:eastAsia="方正小标宋_GBK" w:cs="Times New Roman"/>
          <w:b/>
          <w:sz w:val="36"/>
          <w:szCs w:val="36"/>
        </w:rPr>
        <w:t>网上挂牌出让地块规划建设指标</w:t>
      </w:r>
    </w:p>
    <w:tbl>
      <w:tblPr>
        <w:tblStyle w:val="9"/>
        <w:tblpPr w:leftFromText="180" w:rightFromText="180" w:vertAnchor="text" w:tblpXSpec="center" w:tblpY="1"/>
        <w:tblOverlap w:val="never"/>
        <w:tblW w:w="103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608"/>
        <w:gridCol w:w="668"/>
        <w:gridCol w:w="473"/>
        <w:gridCol w:w="1004"/>
        <w:gridCol w:w="1005"/>
        <w:gridCol w:w="772"/>
        <w:gridCol w:w="645"/>
        <w:gridCol w:w="1088"/>
        <w:gridCol w:w="945"/>
        <w:gridCol w:w="986"/>
        <w:gridCol w:w="741"/>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702" w:type="dxa"/>
            <w:vMerge w:val="restart"/>
            <w:vAlign w:val="center"/>
          </w:tcPr>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挂牌地块编号</w:t>
            </w:r>
          </w:p>
        </w:tc>
        <w:tc>
          <w:tcPr>
            <w:tcW w:w="608" w:type="dxa"/>
            <w:vMerge w:val="restart"/>
            <w:vAlign w:val="center"/>
          </w:tcPr>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土地</w:t>
            </w:r>
          </w:p>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位置</w:t>
            </w:r>
          </w:p>
        </w:tc>
        <w:tc>
          <w:tcPr>
            <w:tcW w:w="668" w:type="dxa"/>
            <w:vMerge w:val="restart"/>
            <w:vAlign w:val="center"/>
          </w:tcPr>
          <w:p>
            <w:pPr>
              <w:adjustRightInd w:val="0"/>
              <w:snapToGrid w:val="0"/>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用地</w:t>
            </w:r>
            <w:r>
              <w:rPr>
                <w:rFonts w:hint="default" w:ascii="Times New Roman" w:hAnsi="Times New Roman" w:eastAsia="仿宋_GB2312" w:cs="Times New Roman"/>
                <w:b/>
                <w:bCs/>
                <w:szCs w:val="21"/>
              </w:rPr>
              <w:t>编号</w:t>
            </w:r>
          </w:p>
        </w:tc>
        <w:tc>
          <w:tcPr>
            <w:tcW w:w="473" w:type="dxa"/>
            <w:vMerge w:val="restart"/>
            <w:vAlign w:val="center"/>
          </w:tcPr>
          <w:p>
            <w:pPr>
              <w:adjustRightInd w:val="0"/>
              <w:snapToGrid w:val="0"/>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土地</w:t>
            </w:r>
          </w:p>
          <w:p>
            <w:pPr>
              <w:adjustRightInd w:val="0"/>
              <w:snapToGrid w:val="0"/>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用途</w:t>
            </w:r>
          </w:p>
        </w:tc>
        <w:tc>
          <w:tcPr>
            <w:tcW w:w="7186" w:type="dxa"/>
            <w:gridSpan w:val="8"/>
            <w:vAlign w:val="center"/>
          </w:tcPr>
          <w:p>
            <w:pPr>
              <w:adjustRightInd w:val="0"/>
              <w:snapToGrid w:val="0"/>
              <w:spacing w:line="320" w:lineRule="exact"/>
              <w:ind w:left="1" w:leftChars="-89" w:hanging="188" w:hangingChars="89"/>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规划指标要求</w:t>
            </w:r>
          </w:p>
        </w:tc>
        <w:tc>
          <w:tcPr>
            <w:tcW w:w="677" w:type="dxa"/>
            <w:vAlign w:val="center"/>
          </w:tcPr>
          <w:p>
            <w:pPr>
              <w:autoSpaceDE w:val="0"/>
              <w:autoSpaceDN w:val="0"/>
              <w:adjustRightInd w:val="0"/>
              <w:spacing w:line="240" w:lineRule="exact"/>
              <w:jc w:val="center"/>
              <w:rPr>
                <w:rFonts w:hint="default" w:ascii="Times New Roman" w:hAnsi="Times New Roman" w:eastAsia="仿宋_GB2312"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jc w:val="center"/>
        </w:trPr>
        <w:tc>
          <w:tcPr>
            <w:tcW w:w="702" w:type="dxa"/>
            <w:vMerge w:val="continue"/>
            <w:vAlign w:val="center"/>
          </w:tcPr>
          <w:p>
            <w:pPr>
              <w:adjustRightInd w:val="0"/>
              <w:snapToGrid w:val="0"/>
              <w:spacing w:line="320" w:lineRule="exact"/>
              <w:jc w:val="center"/>
              <w:rPr>
                <w:rFonts w:hint="default" w:ascii="Times New Roman" w:hAnsi="Times New Roman" w:eastAsia="仿宋_GB2312" w:cs="Times New Roman"/>
                <w:b/>
                <w:bCs/>
              </w:rPr>
            </w:pPr>
          </w:p>
        </w:tc>
        <w:tc>
          <w:tcPr>
            <w:tcW w:w="608" w:type="dxa"/>
            <w:vMerge w:val="continue"/>
            <w:vAlign w:val="center"/>
          </w:tcPr>
          <w:p>
            <w:pPr>
              <w:adjustRightInd w:val="0"/>
              <w:snapToGrid w:val="0"/>
              <w:spacing w:line="320" w:lineRule="exact"/>
              <w:jc w:val="center"/>
              <w:rPr>
                <w:rFonts w:hint="default" w:ascii="Times New Roman" w:hAnsi="Times New Roman" w:eastAsia="仿宋_GB2312" w:cs="Times New Roman"/>
                <w:b/>
                <w:bCs/>
              </w:rPr>
            </w:pPr>
          </w:p>
        </w:tc>
        <w:tc>
          <w:tcPr>
            <w:tcW w:w="668" w:type="dxa"/>
            <w:vMerge w:val="continue"/>
            <w:vAlign w:val="center"/>
          </w:tcPr>
          <w:p>
            <w:pPr>
              <w:adjustRightInd w:val="0"/>
              <w:snapToGrid w:val="0"/>
              <w:spacing w:line="320" w:lineRule="exact"/>
              <w:jc w:val="center"/>
              <w:rPr>
                <w:rFonts w:hint="default" w:ascii="Times New Roman" w:hAnsi="Times New Roman" w:eastAsia="仿宋_GB2312" w:cs="Times New Roman"/>
                <w:b/>
                <w:bCs/>
              </w:rPr>
            </w:pPr>
          </w:p>
        </w:tc>
        <w:tc>
          <w:tcPr>
            <w:tcW w:w="473" w:type="dxa"/>
            <w:vMerge w:val="continue"/>
            <w:vAlign w:val="center"/>
          </w:tcPr>
          <w:p>
            <w:pPr>
              <w:adjustRightInd w:val="0"/>
              <w:snapToGrid w:val="0"/>
              <w:spacing w:line="320" w:lineRule="exact"/>
              <w:jc w:val="center"/>
              <w:rPr>
                <w:rFonts w:hint="default" w:ascii="Times New Roman" w:hAnsi="Times New Roman" w:eastAsia="仿宋_GB2312" w:cs="Times New Roman"/>
                <w:b/>
                <w:bCs/>
              </w:rPr>
            </w:pPr>
          </w:p>
        </w:tc>
        <w:tc>
          <w:tcPr>
            <w:tcW w:w="1004" w:type="dxa"/>
            <w:vAlign w:val="center"/>
          </w:tcPr>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计算指标用地面积</w:t>
            </w:r>
          </w:p>
        </w:tc>
        <w:tc>
          <w:tcPr>
            <w:tcW w:w="1005" w:type="dxa"/>
            <w:vAlign w:val="center"/>
          </w:tcPr>
          <w:p>
            <w:pPr>
              <w:autoSpaceDE w:val="0"/>
              <w:autoSpaceDN w:val="0"/>
              <w:adjustRightInd w:val="0"/>
              <w:spacing w:line="240" w:lineRule="exact"/>
              <w:jc w:val="center"/>
              <w:rPr>
                <w:rFonts w:hint="default" w:ascii="Times New Roman" w:hAnsi="Times New Roman" w:cs="Times New Roman"/>
                <w:b/>
                <w:bCs/>
                <w:szCs w:val="21"/>
              </w:rPr>
            </w:pPr>
            <w:r>
              <w:rPr>
                <w:rFonts w:hint="default" w:ascii="Times New Roman" w:hAnsi="Times New Roman" w:eastAsia="仿宋_GB2312" w:cs="Times New Roman"/>
                <w:b/>
                <w:bCs/>
                <w:szCs w:val="21"/>
              </w:rPr>
              <w:t>宗地使用权面积</w:t>
            </w:r>
          </w:p>
        </w:tc>
        <w:tc>
          <w:tcPr>
            <w:tcW w:w="772" w:type="dxa"/>
            <w:vAlign w:val="center"/>
          </w:tcPr>
          <w:p>
            <w:pPr>
              <w:autoSpaceDE w:val="0"/>
              <w:autoSpaceDN w:val="0"/>
              <w:adjustRightInd w:val="0"/>
              <w:spacing w:line="24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建筑密度</w:t>
            </w:r>
          </w:p>
        </w:tc>
        <w:tc>
          <w:tcPr>
            <w:tcW w:w="645" w:type="dxa"/>
            <w:vAlign w:val="center"/>
          </w:tcPr>
          <w:p>
            <w:pPr>
              <w:autoSpaceDE w:val="0"/>
              <w:autoSpaceDN w:val="0"/>
              <w:adjustRightInd w:val="0"/>
              <w:spacing w:line="24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容积率</w:t>
            </w:r>
          </w:p>
        </w:tc>
        <w:tc>
          <w:tcPr>
            <w:tcW w:w="1088" w:type="dxa"/>
            <w:vAlign w:val="center"/>
          </w:tcPr>
          <w:p>
            <w:pPr>
              <w:spacing w:line="320" w:lineRule="exact"/>
              <w:ind w:left="44" w:right="-53" w:rightChars="-25" w:hanging="44" w:hangingChars="21"/>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计容积率建筑面积</w:t>
            </w:r>
          </w:p>
        </w:tc>
        <w:tc>
          <w:tcPr>
            <w:tcW w:w="945" w:type="dxa"/>
            <w:vAlign w:val="center"/>
          </w:tcPr>
          <w:p>
            <w:pPr>
              <w:autoSpaceDE w:val="0"/>
              <w:autoSpaceDN w:val="0"/>
              <w:adjustRightInd w:val="0"/>
              <w:spacing w:line="240" w:lineRule="exact"/>
              <w:jc w:val="center"/>
              <w:rPr>
                <w:rFonts w:hint="default" w:ascii="Times New Roman" w:hAnsi="Times New Roman" w:eastAsia="仿宋_GB2312" w:cs="Times New Roman"/>
                <w:b/>
                <w:bCs/>
                <w:lang w:eastAsia="zh-CN"/>
              </w:rPr>
            </w:pPr>
            <w:r>
              <w:rPr>
                <w:rFonts w:hint="default" w:ascii="Times New Roman" w:hAnsi="Times New Roman" w:eastAsia="仿宋_GB2312" w:cs="Times New Roman"/>
                <w:b/>
                <w:bCs/>
                <w:lang w:eastAsia="zh-CN"/>
              </w:rPr>
              <w:t>绿地率</w:t>
            </w:r>
          </w:p>
        </w:tc>
        <w:tc>
          <w:tcPr>
            <w:tcW w:w="986" w:type="dxa"/>
            <w:vAlign w:val="center"/>
          </w:tcPr>
          <w:p>
            <w:pPr>
              <w:autoSpaceDE w:val="0"/>
              <w:autoSpaceDN w:val="0"/>
              <w:adjustRightInd w:val="0"/>
              <w:spacing w:line="240" w:lineRule="exact"/>
              <w:jc w:val="center"/>
              <w:rPr>
                <w:rFonts w:hint="default" w:ascii="Times New Roman" w:hAnsi="Times New Roman" w:eastAsia="宋体" w:cs="Times New Roman"/>
                <w:b/>
                <w:bCs/>
                <w:szCs w:val="21"/>
                <w:lang w:eastAsia="zh-CN"/>
              </w:rPr>
            </w:pPr>
            <w:r>
              <w:rPr>
                <w:rFonts w:hint="default" w:ascii="Times New Roman" w:hAnsi="Times New Roman" w:eastAsia="仿宋_GB2312" w:cs="Times New Roman"/>
                <w:b/>
                <w:szCs w:val="21"/>
                <w:lang w:eastAsia="zh-CN"/>
              </w:rPr>
              <w:t>机动车停车位（个）</w:t>
            </w:r>
          </w:p>
        </w:tc>
        <w:tc>
          <w:tcPr>
            <w:tcW w:w="741" w:type="dxa"/>
            <w:vAlign w:val="center"/>
          </w:tcPr>
          <w:p>
            <w:pPr>
              <w:autoSpaceDE w:val="0"/>
              <w:autoSpaceDN w:val="0"/>
              <w:adjustRightInd w:val="0"/>
              <w:spacing w:line="240" w:lineRule="exact"/>
              <w:jc w:val="center"/>
              <w:rPr>
                <w:rFonts w:hint="default" w:ascii="Times New Roman" w:hAnsi="Times New Roman" w:eastAsia="仿宋_GB2312" w:cs="Times New Roman"/>
                <w:b/>
                <w:bCs/>
              </w:rPr>
            </w:pPr>
            <w:r>
              <w:rPr>
                <w:rFonts w:hint="default" w:ascii="Times New Roman" w:hAnsi="Times New Roman" w:eastAsia="仿宋_GB2312" w:cs="Times New Roman"/>
                <w:b/>
                <w:bCs/>
                <w:szCs w:val="21"/>
              </w:rPr>
              <w:t>适建性</w:t>
            </w:r>
          </w:p>
        </w:tc>
        <w:tc>
          <w:tcPr>
            <w:tcW w:w="677" w:type="dxa"/>
            <w:vAlign w:val="center"/>
          </w:tcPr>
          <w:p>
            <w:pPr>
              <w:autoSpaceDE w:val="0"/>
              <w:autoSpaceDN w:val="0"/>
              <w:adjustRightInd w:val="0"/>
              <w:spacing w:line="240" w:lineRule="exact"/>
              <w:jc w:val="center"/>
              <w:rPr>
                <w:rFonts w:hint="default" w:ascii="Times New Roman" w:hAnsi="Times New Roman" w:eastAsia="仿宋_GB2312" w:cs="Times New Roman"/>
                <w:b/>
                <w:bCs/>
              </w:rPr>
            </w:pPr>
            <w:r>
              <w:rPr>
                <w:rFonts w:hint="default" w:ascii="Times New Roman" w:hAnsi="Times New Roman" w:eastAsia="仿宋_GB2312" w:cs="Times New Roman"/>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6" w:hRule="atLeast"/>
          <w:jc w:val="center"/>
        </w:trPr>
        <w:tc>
          <w:tcPr>
            <w:tcW w:w="702" w:type="dxa"/>
            <w:tcMar>
              <w:left w:w="0" w:type="dxa"/>
              <w:right w:w="0" w:type="dxa"/>
            </w:tcMar>
            <w:vAlign w:val="center"/>
          </w:tcPr>
          <w:p>
            <w:pPr>
              <w:spacing w:line="300" w:lineRule="exact"/>
              <w:jc w:val="both"/>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GP2021</w:t>
            </w:r>
          </w:p>
          <w:p>
            <w:pPr>
              <w:spacing w:line="30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-38</w:t>
            </w:r>
          </w:p>
          <w:p>
            <w:pPr>
              <w:spacing w:line="300" w:lineRule="exact"/>
              <w:jc w:val="center"/>
              <w:rPr>
                <w:rFonts w:hint="eastAsia" w:ascii="仿宋_GB2312" w:hAnsi="仿宋_GB2312" w:eastAsia="仿宋_GB2312" w:cs="仿宋_GB2312"/>
                <w:color w:val="000000"/>
                <w:kern w:val="2"/>
                <w:sz w:val="21"/>
                <w:szCs w:val="21"/>
                <w:lang w:val="en-US" w:eastAsia="zh-CN" w:bidi="ar-SA"/>
              </w:rPr>
            </w:pPr>
          </w:p>
        </w:tc>
        <w:tc>
          <w:tcPr>
            <w:tcW w:w="608" w:type="dxa"/>
            <w:vAlign w:val="center"/>
          </w:tcPr>
          <w:p>
            <w:pPr>
              <w:spacing w:line="30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b w:val="0"/>
                <w:bCs/>
                <w:color w:val="000000"/>
                <w:sz w:val="21"/>
                <w:szCs w:val="21"/>
                <w:lang w:val="en-US" w:eastAsia="zh-CN"/>
              </w:rPr>
              <w:t>惠城区高新科技产业园南部片区B-10-01-04地块</w:t>
            </w:r>
          </w:p>
        </w:tc>
        <w:tc>
          <w:tcPr>
            <w:tcW w:w="668" w:type="dxa"/>
            <w:vAlign w:val="center"/>
          </w:tcPr>
          <w:p>
            <w:pPr>
              <w:spacing w:line="30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b w:val="0"/>
                <w:bCs/>
                <w:color w:val="000000"/>
                <w:sz w:val="21"/>
                <w:szCs w:val="21"/>
                <w:lang w:val="en-US" w:eastAsia="zh-CN"/>
              </w:rPr>
              <w:t>B-10-01-04</w:t>
            </w:r>
          </w:p>
        </w:tc>
        <w:tc>
          <w:tcPr>
            <w:tcW w:w="473" w:type="dxa"/>
            <w:tcMar>
              <w:left w:w="0" w:type="dxa"/>
              <w:right w:w="0" w:type="dxa"/>
            </w:tcMar>
            <w:vAlign w:val="center"/>
          </w:tcPr>
          <w:p>
            <w:pPr>
              <w:spacing w:line="300" w:lineRule="exact"/>
              <w:jc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eastAsia="zh-CN"/>
              </w:rPr>
              <w:t>二类城镇住宅、商服用地</w:t>
            </w:r>
          </w:p>
        </w:tc>
        <w:tc>
          <w:tcPr>
            <w:tcW w:w="1004" w:type="dxa"/>
            <w:vAlign w:val="center"/>
          </w:tcPr>
          <w:p>
            <w:pPr>
              <w:spacing w:line="30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43877㎡</w:t>
            </w:r>
          </w:p>
        </w:tc>
        <w:tc>
          <w:tcPr>
            <w:tcW w:w="1005" w:type="dxa"/>
            <w:vAlign w:val="center"/>
          </w:tcPr>
          <w:p>
            <w:pPr>
              <w:spacing w:line="30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29794.24㎡</w:t>
            </w:r>
          </w:p>
        </w:tc>
        <w:tc>
          <w:tcPr>
            <w:tcW w:w="772" w:type="dxa"/>
            <w:vAlign w:val="center"/>
          </w:tcPr>
          <w:p>
            <w:pPr>
              <w:spacing w:line="30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≤30%（</w:t>
            </w:r>
            <w:r>
              <w:rPr>
                <w:rFonts w:hint="eastAsia" w:ascii="仿宋_GB2312" w:hAnsi="仿宋_GB2312" w:eastAsia="仿宋_GB2312" w:cs="仿宋_GB2312"/>
                <w:b w:val="0"/>
                <w:bCs/>
                <w:color w:val="000000"/>
                <w:sz w:val="21"/>
                <w:szCs w:val="21"/>
                <w:lang w:val="en-US" w:eastAsia="zh-CN"/>
              </w:rPr>
              <w:t>其中建筑住宅净密度≤22%</w:t>
            </w:r>
            <w:r>
              <w:rPr>
                <w:rFonts w:hint="eastAsia" w:ascii="仿宋_GB2312" w:hAnsi="仿宋_GB2312" w:eastAsia="仿宋_GB2312" w:cs="仿宋_GB2312"/>
                <w:color w:val="000000"/>
                <w:szCs w:val="21"/>
                <w:lang w:val="en-US" w:eastAsia="zh-CN"/>
              </w:rPr>
              <w:t>）</w:t>
            </w:r>
          </w:p>
        </w:tc>
        <w:tc>
          <w:tcPr>
            <w:tcW w:w="645" w:type="dxa"/>
            <w:vAlign w:val="center"/>
          </w:tcPr>
          <w:p>
            <w:pPr>
              <w:spacing w:line="30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≤3.0</w:t>
            </w:r>
          </w:p>
        </w:tc>
        <w:tc>
          <w:tcPr>
            <w:tcW w:w="1088" w:type="dxa"/>
            <w:vAlign w:val="center"/>
          </w:tcPr>
          <w:p>
            <w:pPr>
              <w:spacing w:line="300" w:lineRule="exact"/>
              <w:jc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lang w:val="en-US" w:eastAsia="zh-CN"/>
              </w:rPr>
              <w:t>131631</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sz w:val="21"/>
                <w:szCs w:val="21"/>
                <w:lang w:val="en-US" w:eastAsia="zh-CN"/>
              </w:rPr>
              <w:t>商业建筑面积比例</w:t>
            </w:r>
            <w:r>
              <w:rPr>
                <w:rFonts w:hint="eastAsia" w:ascii="仿宋_GB2312" w:hAnsi="仿宋_GB2312" w:eastAsia="仿宋_GB2312" w:cs="仿宋_GB2312"/>
                <w:b w:val="0"/>
                <w:bCs/>
                <w:color w:val="000000"/>
                <w:sz w:val="21"/>
                <w:szCs w:val="21"/>
                <w:lang w:val="en-US" w:eastAsia="zh-CN"/>
              </w:rPr>
              <w:t>10%，配套设施建筑面积</w:t>
            </w:r>
            <w:r>
              <w:rPr>
                <w:rFonts w:hint="eastAsia" w:ascii="仿宋_GB2312" w:hAnsi="仿宋_GB2312" w:eastAsia="仿宋_GB2312" w:cs="仿宋_GB2312"/>
                <w:sz w:val="21"/>
                <w:szCs w:val="21"/>
                <w:lang w:val="en-US" w:eastAsia="zh-CN"/>
              </w:rPr>
              <w:t>≥700</w:t>
            </w:r>
            <w:r>
              <w:rPr>
                <w:rFonts w:hint="eastAsia" w:ascii="仿宋_GB2312" w:hAnsi="仿宋_GB2312" w:eastAsia="仿宋_GB2312" w:cs="仿宋_GB2312"/>
                <w:color w:val="000000"/>
                <w:szCs w:val="21"/>
                <w:lang w:val="en-US" w:eastAsia="zh-CN"/>
              </w:rPr>
              <w:t>㎡</w:t>
            </w:r>
            <w:r>
              <w:rPr>
                <w:rFonts w:hint="eastAsia" w:ascii="仿宋_GB2312" w:hAnsi="仿宋_GB2312" w:eastAsia="仿宋_GB2312" w:cs="仿宋_GB2312"/>
                <w:color w:val="000000"/>
                <w:szCs w:val="21"/>
                <w:lang w:eastAsia="zh-CN"/>
              </w:rPr>
              <w:t>）</w:t>
            </w:r>
          </w:p>
        </w:tc>
        <w:tc>
          <w:tcPr>
            <w:tcW w:w="945" w:type="dxa"/>
            <w:vAlign w:val="center"/>
          </w:tcPr>
          <w:p>
            <w:pPr>
              <w:spacing w:line="300" w:lineRule="exact"/>
              <w:jc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eastAsia="zh-CN"/>
              </w:rPr>
              <w:t>≥3</w:t>
            </w:r>
            <w:r>
              <w:rPr>
                <w:rFonts w:hint="eastAsia" w:ascii="仿宋_GB2312" w:hAnsi="仿宋_GB2312" w:eastAsia="仿宋_GB2312" w:cs="仿宋_GB2312"/>
                <w:color w:val="000000"/>
                <w:szCs w:val="21"/>
                <w:lang w:val="en-US" w:eastAsia="zh-CN"/>
              </w:rPr>
              <w:t>5</w:t>
            </w:r>
            <w:r>
              <w:rPr>
                <w:rFonts w:hint="eastAsia" w:ascii="仿宋_GB2312" w:hAnsi="仿宋_GB2312" w:eastAsia="仿宋_GB2312" w:cs="仿宋_GB2312"/>
                <w:color w:val="000000"/>
                <w:szCs w:val="21"/>
                <w:lang w:eastAsia="zh-CN"/>
              </w:rPr>
              <w:t>%</w:t>
            </w:r>
          </w:p>
        </w:tc>
        <w:tc>
          <w:tcPr>
            <w:tcW w:w="986" w:type="dxa"/>
            <w:vAlign w:val="center"/>
          </w:tcPr>
          <w:p>
            <w:pPr>
              <w:spacing w:line="300" w:lineRule="exact"/>
              <w:jc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eastAsia="zh-CN"/>
              </w:rPr>
              <w:t>每100㎡计容积率建筑面积≥1个</w:t>
            </w:r>
          </w:p>
        </w:tc>
        <w:tc>
          <w:tcPr>
            <w:tcW w:w="741" w:type="dxa"/>
            <w:vAlign w:val="center"/>
          </w:tcPr>
          <w:p>
            <w:pPr>
              <w:spacing w:line="300" w:lineRule="exact"/>
              <w:jc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eastAsia="zh-CN"/>
              </w:rPr>
              <w:t>住宅、商业及配套设施</w:t>
            </w:r>
          </w:p>
        </w:tc>
        <w:tc>
          <w:tcPr>
            <w:tcW w:w="677" w:type="dxa"/>
            <w:vAlign w:val="center"/>
          </w:tcPr>
          <w:p>
            <w:pPr>
              <w:spacing w:line="300" w:lineRule="exact"/>
              <w:jc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eastAsia="zh-CN"/>
              </w:rPr>
              <w:t>城镇住宅用地</w:t>
            </w:r>
            <w:r>
              <w:rPr>
                <w:rFonts w:hint="eastAsia" w:ascii="仿宋_GB2312" w:hAnsi="仿宋_GB2312" w:eastAsia="仿宋_GB2312" w:cs="仿宋_GB2312"/>
                <w:color w:val="000000"/>
                <w:szCs w:val="21"/>
                <w:lang w:val="en-US" w:eastAsia="zh-CN"/>
              </w:rPr>
              <w:t>7</w:t>
            </w:r>
            <w:r>
              <w:rPr>
                <w:rFonts w:hint="eastAsia" w:ascii="仿宋_GB2312" w:hAnsi="仿宋_GB2312" w:eastAsia="仿宋_GB2312" w:cs="仿宋_GB2312"/>
                <w:color w:val="000000"/>
                <w:szCs w:val="21"/>
                <w:lang w:eastAsia="zh-CN"/>
              </w:rPr>
              <w:t>0年、商服用地40年</w:t>
            </w:r>
          </w:p>
        </w:tc>
      </w:tr>
    </w:tbl>
    <w:p>
      <w:pPr>
        <w:tabs>
          <w:tab w:val="left" w:pos="11340"/>
        </w:tabs>
        <w:spacing w:line="600" w:lineRule="exact"/>
        <w:rPr>
          <w:rFonts w:hint="default" w:ascii="Times New Roman" w:hAnsi="Times New Roman" w:eastAsia="仿宋_GB2312" w:cs="Times New Roman"/>
          <w:sz w:val="32"/>
          <w:szCs w:val="32"/>
        </w:rPr>
      </w:pPr>
      <w:bookmarkStart w:id="0" w:name="_GoBack"/>
    </w:p>
    <w:bookmarkEnd w:id="0"/>
    <w:p>
      <w:pPr>
        <w:rPr>
          <w:rFonts w:hint="default" w:ascii="Times New Roman" w:hAnsi="Times New Roman" w:cs="Times New Roman"/>
        </w:rPr>
      </w:pPr>
    </w:p>
    <w:p>
      <w:pPr>
        <w:spacing w:line="360" w:lineRule="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Times New Roman" w:eastAsia="仿宋_GB2312" w:cs="Times New Roman"/>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Pr>
    </w:pPr>
    <w:r>
      <w:fldChar w:fldCharType="begin"/>
    </w:r>
    <w:r>
      <w:rPr>
        <w:rStyle w:val="8"/>
      </w:rPr>
      <w:instrText xml:space="preserve">PAGE  </w:instrText>
    </w:r>
    <w:r>
      <w:fldChar w:fldCharType="separate"/>
    </w:r>
    <w:r>
      <w:rPr>
        <w:rStyle w:val="8"/>
      </w:rPr>
      <w:t>- 4 -</w:t>
    </w:r>
    <w: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Pr>
    </w:pPr>
    <w:r>
      <w:fldChar w:fldCharType="begin"/>
    </w:r>
    <w:r>
      <w:rPr>
        <w:rStyle w:val="8"/>
      </w:rPr>
      <w:instrText xml:space="preserve">PAGE  </w:instrText>
    </w:r>
    <w:r>
      <w:fldChar w:fldCharType="separate"/>
    </w:r>
    <w:r>
      <w:rPr>
        <w:rStyle w:val="8"/>
      </w:rPr>
      <w:t>1</w: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left"/>
      <w:rPr>
        <w:rFonts w:hint="eastAsia"/>
      </w:rPr>
    </w:pPr>
  </w:p>
  <w:p>
    <w:pPr>
      <w:pStyle w:val="6"/>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539EC"/>
    <w:rsid w:val="03043D1C"/>
    <w:rsid w:val="045C3FD8"/>
    <w:rsid w:val="046368B3"/>
    <w:rsid w:val="047C6F5A"/>
    <w:rsid w:val="069C76D6"/>
    <w:rsid w:val="07386886"/>
    <w:rsid w:val="07895069"/>
    <w:rsid w:val="082B1937"/>
    <w:rsid w:val="09B41FDD"/>
    <w:rsid w:val="09EF4B5F"/>
    <w:rsid w:val="0B78752F"/>
    <w:rsid w:val="0B7A084A"/>
    <w:rsid w:val="0D167AC3"/>
    <w:rsid w:val="0D430223"/>
    <w:rsid w:val="0DF23899"/>
    <w:rsid w:val="0E177AE2"/>
    <w:rsid w:val="0E7A65F6"/>
    <w:rsid w:val="101D3BC2"/>
    <w:rsid w:val="10BD4DFA"/>
    <w:rsid w:val="137618AF"/>
    <w:rsid w:val="13D50F1B"/>
    <w:rsid w:val="161D2710"/>
    <w:rsid w:val="167673A1"/>
    <w:rsid w:val="16AA6FD1"/>
    <w:rsid w:val="16D56AAC"/>
    <w:rsid w:val="172121EB"/>
    <w:rsid w:val="17AA0480"/>
    <w:rsid w:val="17D36568"/>
    <w:rsid w:val="17F82A54"/>
    <w:rsid w:val="188D227F"/>
    <w:rsid w:val="192F711A"/>
    <w:rsid w:val="1A0B2C56"/>
    <w:rsid w:val="1AA5305E"/>
    <w:rsid w:val="1ADB0E54"/>
    <w:rsid w:val="1C5904D7"/>
    <w:rsid w:val="1CD57BAD"/>
    <w:rsid w:val="1D7069CD"/>
    <w:rsid w:val="1DE30B94"/>
    <w:rsid w:val="1E862B6D"/>
    <w:rsid w:val="1F7C2358"/>
    <w:rsid w:val="1FB07F91"/>
    <w:rsid w:val="20ED2229"/>
    <w:rsid w:val="210A61AB"/>
    <w:rsid w:val="217817B2"/>
    <w:rsid w:val="22890C8D"/>
    <w:rsid w:val="23A027B1"/>
    <w:rsid w:val="25251515"/>
    <w:rsid w:val="27A65DB8"/>
    <w:rsid w:val="28774868"/>
    <w:rsid w:val="28C60AA0"/>
    <w:rsid w:val="2A6B42FA"/>
    <w:rsid w:val="2A870225"/>
    <w:rsid w:val="2AAC048C"/>
    <w:rsid w:val="2B5D4967"/>
    <w:rsid w:val="2F020615"/>
    <w:rsid w:val="304C7078"/>
    <w:rsid w:val="31CE6D72"/>
    <w:rsid w:val="33861F14"/>
    <w:rsid w:val="33DD4339"/>
    <w:rsid w:val="35335FA2"/>
    <w:rsid w:val="36061489"/>
    <w:rsid w:val="36885460"/>
    <w:rsid w:val="372361B7"/>
    <w:rsid w:val="37607760"/>
    <w:rsid w:val="380440B7"/>
    <w:rsid w:val="381E07C6"/>
    <w:rsid w:val="38387384"/>
    <w:rsid w:val="38BD14D1"/>
    <w:rsid w:val="3C13026D"/>
    <w:rsid w:val="3C8078D7"/>
    <w:rsid w:val="3DDC60B5"/>
    <w:rsid w:val="40231E47"/>
    <w:rsid w:val="40363F40"/>
    <w:rsid w:val="409256E4"/>
    <w:rsid w:val="409E7D83"/>
    <w:rsid w:val="40B33D72"/>
    <w:rsid w:val="411B39E1"/>
    <w:rsid w:val="414E681A"/>
    <w:rsid w:val="42CE6157"/>
    <w:rsid w:val="4333178A"/>
    <w:rsid w:val="43706132"/>
    <w:rsid w:val="44966F93"/>
    <w:rsid w:val="45C047BF"/>
    <w:rsid w:val="47AF3E70"/>
    <w:rsid w:val="4A1228DB"/>
    <w:rsid w:val="4A1B1ECC"/>
    <w:rsid w:val="4AE74DD0"/>
    <w:rsid w:val="4C2E14D5"/>
    <w:rsid w:val="4D1610A1"/>
    <w:rsid w:val="4DF35994"/>
    <w:rsid w:val="4EC91786"/>
    <w:rsid w:val="4F861E18"/>
    <w:rsid w:val="512A0AC6"/>
    <w:rsid w:val="538C505C"/>
    <w:rsid w:val="540106D5"/>
    <w:rsid w:val="546946EF"/>
    <w:rsid w:val="565101CA"/>
    <w:rsid w:val="567F481B"/>
    <w:rsid w:val="578E459E"/>
    <w:rsid w:val="57A3234F"/>
    <w:rsid w:val="57C844D5"/>
    <w:rsid w:val="57EA41E9"/>
    <w:rsid w:val="594D206E"/>
    <w:rsid w:val="596A13D8"/>
    <w:rsid w:val="5A893EB0"/>
    <w:rsid w:val="5AF873B7"/>
    <w:rsid w:val="5D241B5A"/>
    <w:rsid w:val="5D471E01"/>
    <w:rsid w:val="5E3B0440"/>
    <w:rsid w:val="606821F3"/>
    <w:rsid w:val="60AD2817"/>
    <w:rsid w:val="623F28DB"/>
    <w:rsid w:val="63AA2C72"/>
    <w:rsid w:val="64D925C4"/>
    <w:rsid w:val="64E467ED"/>
    <w:rsid w:val="65651799"/>
    <w:rsid w:val="669A56E0"/>
    <w:rsid w:val="68527CA2"/>
    <w:rsid w:val="692A6240"/>
    <w:rsid w:val="6B6E278B"/>
    <w:rsid w:val="6BE509C5"/>
    <w:rsid w:val="6C72571A"/>
    <w:rsid w:val="6E0C0E77"/>
    <w:rsid w:val="6EB83079"/>
    <w:rsid w:val="6EC11C99"/>
    <w:rsid w:val="6ED476F5"/>
    <w:rsid w:val="6F3F769A"/>
    <w:rsid w:val="6F4B3B48"/>
    <w:rsid w:val="6FF0551C"/>
    <w:rsid w:val="700A52E4"/>
    <w:rsid w:val="700B25B1"/>
    <w:rsid w:val="727D44B4"/>
    <w:rsid w:val="728D40FC"/>
    <w:rsid w:val="7291218D"/>
    <w:rsid w:val="736D1677"/>
    <w:rsid w:val="73BE7EBD"/>
    <w:rsid w:val="73F22758"/>
    <w:rsid w:val="748840AA"/>
    <w:rsid w:val="761352C3"/>
    <w:rsid w:val="765425FB"/>
    <w:rsid w:val="77DD303C"/>
    <w:rsid w:val="782A0826"/>
    <w:rsid w:val="787C1591"/>
    <w:rsid w:val="79E82C45"/>
    <w:rsid w:val="7AD36021"/>
    <w:rsid w:val="7B832F79"/>
    <w:rsid w:val="7D060077"/>
    <w:rsid w:val="7F252698"/>
    <w:rsid w:val="7FAA0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Normal Indent"/>
    <w:basedOn w:val="1"/>
    <w:qFormat/>
    <w:uiPriority w:val="0"/>
    <w:pPr>
      <w:spacing w:line="360" w:lineRule="auto"/>
      <w:ind w:firstLine="420"/>
    </w:pPr>
    <w:rPr>
      <w:sz w:val="28"/>
      <w:szCs w:val="20"/>
    </w:rPr>
  </w:style>
  <w:style w:type="paragraph" w:styleId="4">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杨惠丹</cp:lastModifiedBy>
  <cp:lastPrinted>2021-10-11T01:31:00Z</cp:lastPrinted>
  <dcterms:modified xsi:type="dcterms:W3CDTF">2021-10-15T08:47:01Z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