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21</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034</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21</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34</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（二）地块位置：惠城区高新科技产业园NBXC23-01-03地块；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（三）地块编号：NBXC23-01-03；</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（四）地块范围：</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52</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仿宋_GB2312" w:eastAsia="仿宋_GB2312" w:cs="仿宋_GB2312"/>
          <w:sz w:val="32"/>
          <w:szCs w:val="32"/>
          <w:highlight w:val="none"/>
          <w:shd w:val="clear" w:color="auto" w:fill="auto"/>
          <w:lang w:val="en-US" w:eastAsia="zh-CN"/>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（五）宗地使用权面积为：33193.35平方米；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（六）计算指标用地面积为：45000平方米；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（七）计容积率建筑面积：112500-157500平方米（其中配套设施建筑面积≥100）；</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（八）容积率为：2.5-3.5；</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（九）建筑密度为：≥30%；</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（十）机动车停车位配建标准：行政办公及生活服务设施每100平方米计容积率建筑面积≥1个，厂房每100平方米计容积率建筑面积≥0.3个，停车场须按不低于总停车位的10%的比例配置充电设施；</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（十一）土地用途为：二类工业用地；</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（十二）土地使用权出让年限为：50年；</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（十三）产业类型：贵金属压延加工用地；</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（十四） 动工及竣工时间：该地块动工时间为地块交付之日起一年内，竣工时间为土地交付之日起三年内（因不可抗拒因素除外）；</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（十五）本地块交付时间为《国有土地使用权出让合同》签订之日。 </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四、土地开发及使用规定</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（一）</w:t>
      </w:r>
      <w:r>
        <w:rPr>
          <w:rFonts w:hint="eastAsia" w:ascii="仿宋_GB2312" w:hAnsi="仿宋_GB2312" w:eastAsia="仿宋_GB2312" w:cs="仿宋_GB2312"/>
          <w:sz w:val="32"/>
          <w:szCs w:val="32"/>
          <w:highlight w:val="none"/>
          <w:shd w:val="clear" w:color="auto" w:fill="auto"/>
          <w:lang w:eastAsia="zh-CN"/>
        </w:rPr>
        <w:t>开发投资总额不少于人民币</w:t>
      </w:r>
      <w:r>
        <w:rPr>
          <w:rFonts w:hint="eastAsia" w:ascii="仿宋_GB2312" w:hAnsi="宋体" w:eastAsia="仿宋_GB2312" w:cs="宋体"/>
          <w:color w:val="auto"/>
          <w:kern w:val="0"/>
          <w:sz w:val="32"/>
          <w:szCs w:val="32"/>
          <w:lang w:val="en-US" w:eastAsia="zh-CN"/>
        </w:rPr>
        <w:t>56250</w:t>
      </w:r>
      <w:r>
        <w:rPr>
          <w:rFonts w:hint="eastAsia" w:ascii="仿宋_GB2312" w:hAnsi="仿宋_GB2312" w:eastAsia="仿宋_GB2312" w:cs="仿宋_GB2312"/>
          <w:sz w:val="32"/>
          <w:szCs w:val="32"/>
          <w:highlight w:val="none"/>
          <w:shd w:val="clear" w:color="auto" w:fill="auto"/>
          <w:lang w:val="en-US" w:eastAsia="zh-CN"/>
        </w:rPr>
        <w:t>万元</w:t>
      </w:r>
      <w:r>
        <w:rPr>
          <w:rFonts w:hint="eastAsia" w:ascii="仿宋_GB2312" w:hAnsi="仿宋_GB2312" w:eastAsia="仿宋_GB2312" w:cs="仿宋_GB2312"/>
          <w:sz w:val="32"/>
          <w:szCs w:val="32"/>
          <w:highlight w:val="none"/>
          <w:shd w:val="clear" w:color="auto" w:fill="auto"/>
          <w:lang w:eastAsia="zh-CN"/>
        </w:rPr>
        <w:t>（含地价）。</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eastAsia="zh-CN"/>
        </w:rPr>
        <w:t>土地成交价款须以人民币支付,竞得人在签订《出让合同》之日起30日内付清全部成交价款。</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（三）</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52</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仿宋_GB2312" w:eastAsia="仿宋_GB2312" w:cs="仿宋_GB2312"/>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rPr>
        <w:t>项目规划建设方案</w:t>
      </w: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kern w:val="0"/>
          <w:sz w:val="32"/>
          <w:szCs w:val="32"/>
          <w:lang w:val="en-US" w:eastAsia="zh-CN"/>
        </w:rPr>
        <w:t>所报总平面图的主要技术经济指标：规划布局4栋厂房、1栋宿舍、2栋门卫室及配用房、1栋设备用房，计算指标用地面积45000平方米，建筑层数地上最高13层，地下1层，计容积率总建筑面积119956.1平方米（其中行政办公及生活服务设施建筑面积占比14.8%），容积率2.67，建筑系数30.1%（其中行政办公及生活服务设施用地面积占比5.6%），绿地率15%，机动车停车位486个（地面停车436个，地下停车50个）。</w:t>
      </w:r>
      <w:r>
        <w:rPr>
          <w:rFonts w:hint="eastAsia" w:ascii="仿宋_GB2312" w:hAnsi="仿宋_GB2312" w:eastAsia="仿宋_GB2312" w:cs="仿宋_GB2312"/>
          <w:sz w:val="32"/>
          <w:szCs w:val="32"/>
          <w:lang w:val="en-US" w:eastAsia="zh-CN"/>
        </w:rPr>
        <w:t>各项指标满足《建设用地规划设计条件》（</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10052号)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（五）招商条件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sz w:val="32"/>
          <w:szCs w:val="32"/>
          <w:lang w:eastAsia="zh-CN"/>
        </w:rPr>
        <w:t>投资强度不低于</w:t>
      </w:r>
      <w:r>
        <w:rPr>
          <w:rFonts w:hint="eastAsia" w:ascii="仿宋_GB2312" w:hAnsi="仿宋_GB2312" w:eastAsia="仿宋_GB2312" w:cs="仿宋_GB2312"/>
          <w:sz w:val="32"/>
          <w:szCs w:val="32"/>
          <w:lang w:val="en-US" w:eastAsia="zh-CN"/>
        </w:rPr>
        <w:t>12500元</w:t>
      </w:r>
      <w:r>
        <w:rPr>
          <w:rFonts w:hint="eastAsia" w:ascii="仿宋_GB2312" w:hAnsi="仿宋_GB2312" w:eastAsia="仿宋_GB2312" w:cs="仿宋_GB2312"/>
          <w:sz w:val="32"/>
          <w:szCs w:val="32"/>
          <w:lang w:eastAsia="zh-CN"/>
        </w:rPr>
        <w:t>/平方米，土地产出率（营业收入）不低于</w:t>
      </w:r>
      <w:r>
        <w:rPr>
          <w:rFonts w:hint="eastAsia" w:ascii="仿宋_GB2312" w:hAnsi="仿宋_GB2312" w:eastAsia="仿宋_GB2312" w:cs="仿宋_GB2312"/>
          <w:sz w:val="32"/>
          <w:szCs w:val="32"/>
          <w:lang w:val="en-US" w:eastAsia="zh-CN"/>
        </w:rPr>
        <w:t>19500</w:t>
      </w:r>
      <w:r>
        <w:rPr>
          <w:rFonts w:hint="eastAsia" w:ascii="仿宋_GB2312" w:hAnsi="仿宋_GB2312" w:eastAsia="仿宋_GB2312" w:cs="仿宋_GB2312"/>
          <w:sz w:val="32"/>
          <w:szCs w:val="32"/>
          <w:lang w:eastAsia="zh-CN"/>
        </w:rPr>
        <w:t>元/平方米/年，税收产出不低于</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lang w:eastAsia="zh-CN"/>
        </w:rPr>
        <w:t>元/平方米/年。其中，土地产出率及税收产出，在项目投产后</w:t>
      </w:r>
      <w:r>
        <w:rPr>
          <w:rFonts w:hint="eastAsia" w:ascii="仿宋_GB2312" w:hAnsi="仿宋_GB2312" w:eastAsia="仿宋_GB2312" w:cs="仿宋_GB2312"/>
          <w:sz w:val="32"/>
          <w:szCs w:val="32"/>
          <w:lang w:val="en-US" w:eastAsia="zh-CN"/>
        </w:rPr>
        <w:t>3年内逐年</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lang w:val="en-US" w:eastAsia="zh-CN"/>
        </w:rPr>
        <w:t>3年内的</w:t>
      </w:r>
      <w:r>
        <w:rPr>
          <w:rFonts w:hint="eastAsia" w:ascii="仿宋_GB2312" w:hAnsi="仿宋_GB2312" w:eastAsia="仿宋_GB2312" w:cs="仿宋_GB2312"/>
          <w:sz w:val="32"/>
          <w:szCs w:val="32"/>
          <w:lang w:eastAsia="zh-CN"/>
        </w:rPr>
        <w:t>平均值不得低于上述标准。</w:t>
      </w:r>
    </w:p>
    <w:p>
      <w:pPr>
        <w:pStyle w:val="2"/>
        <w:rPr>
          <w:rFonts w:hint="eastAsia"/>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kern w:val="2"/>
          <w:sz w:val="32"/>
          <w:szCs w:val="32"/>
          <w:highlight w:val="none"/>
          <w:shd w:val="clear" w:color="auto" w:fill="auto"/>
          <w:lang w:val="en-US" w:eastAsia="zh-CN" w:bidi="ar-SA"/>
        </w:rPr>
        <w:t>（六）</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仿宋_GB2312" w:eastAsia="仿宋_GB2312" w:cs="仿宋_GB2312"/>
          <w:color w:val="auto"/>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highlight w:val="none"/>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r>
        <w:rPr>
          <w:rFonts w:hint="eastAsia" w:ascii="仿宋_GB2312" w:hAnsi="宋体" w:eastAsia="仿宋_GB2312" w:cs="宋体"/>
          <w:color w:val="auto"/>
          <w:kern w:val="0"/>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keepNext w:val="0"/>
        <w:keepLines w:val="0"/>
        <w:pageBreakBefore w:val="0"/>
        <w:widowControl w:val="0"/>
        <w:numPr>
          <w:ilvl w:val="0"/>
          <w:numId w:val="0"/>
        </w:numPr>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竞买人缴交的竞买保证金为人民币1332</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kern w:val="0"/>
          <w:sz w:val="32"/>
          <w:szCs w:val="32"/>
          <w:highlight w:val="none"/>
          <w:shd w:val="clear" w:color="auto" w:fill="auto"/>
        </w:rPr>
        <w:t>。</w:t>
      </w:r>
    </w:p>
    <w:p>
      <w:pPr>
        <w:pStyle w:val="2"/>
        <w:numPr>
          <w:ilvl w:val="0"/>
          <w:numId w:val="0"/>
        </w:numPr>
        <w:ind w:firstLine="640" w:firstLineChars="200"/>
        <w:rPr>
          <w:rFonts w:hint="eastAsia" w:ascii="仿宋_GB2312" w:hAnsi="仿宋_GB2312" w:eastAsia="仿宋_GB2312" w:cs="仿宋_GB2312"/>
          <w:kern w:val="0"/>
          <w:sz w:val="32"/>
          <w:szCs w:val="32"/>
          <w:highlight w:val="none"/>
          <w:shd w:val="clear" w:color="auto" w:fill="auto"/>
          <w:lang w:val="en-US" w:eastAsia="zh-CN"/>
        </w:rPr>
      </w:pPr>
      <w:r>
        <w:rPr>
          <w:rFonts w:hint="eastAsia" w:ascii="仿宋_GB2312" w:hAnsi="仿宋_GB2312" w:eastAsia="仿宋_GB2312" w:cs="仿宋_GB2312"/>
          <w:kern w:val="0"/>
          <w:sz w:val="32"/>
          <w:szCs w:val="32"/>
          <w:highlight w:val="none"/>
          <w:shd w:val="clear" w:color="auto" w:fill="auto"/>
          <w:lang w:val="en-US" w:eastAsia="zh-CN"/>
        </w:rPr>
        <w:t>（二）竞买人须提交惠城区发改局出具的与该宗地块规划确定的产业类型一致的优先发展产业项目文件。</w:t>
      </w:r>
    </w:p>
    <w:p>
      <w:pPr>
        <w:pStyle w:val="2"/>
        <w:numPr>
          <w:ilvl w:val="0"/>
          <w:numId w:val="0"/>
        </w:numPr>
        <w:ind w:firstLine="640" w:firstLineChars="200"/>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三</w:t>
      </w:r>
      <w:r>
        <w:rPr>
          <w:rFonts w:hint="eastAsia" w:ascii="仿宋_GB2312" w:hAnsi="仿宋_GB2312" w:eastAsia="仿宋_GB2312" w:cs="仿宋_GB2312"/>
          <w:kern w:val="0"/>
          <w:sz w:val="32"/>
          <w:szCs w:val="32"/>
          <w:highlight w:val="none"/>
          <w:shd w:val="clear" w:color="auto" w:fill="auto"/>
        </w:rPr>
        <w:t>）预先办理数字证书。本次国有建设用地使用权网</w:t>
      </w:r>
      <w:r>
        <w:rPr>
          <w:rFonts w:hint="eastAsia" w:ascii="仿宋_GB2312" w:hAnsi="仿宋_GB2312" w:eastAsia="仿宋_GB2312" w:cs="仿宋_GB2312"/>
          <w:sz w:val="32"/>
          <w:szCs w:val="32"/>
          <w:highlight w:val="none"/>
          <w:shd w:val="clear" w:color="auto" w:fill="auto"/>
        </w:rPr>
        <w:t>上挂牌出让只能在互联网上，通过惠州市公共资源交易中心土地与矿业网上挂牌交易系统（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ascii="仿宋_GB2312" w:hAnsi="仿宋_GB2312" w:eastAsia="仿宋_GB2312" w:cs="仿宋_GB2312"/>
          <w:sz w:val="32"/>
          <w:szCs w:val="32"/>
          <w:highlight w:val="none"/>
          <w:shd w:val="clear" w:color="auto" w:fill="auto"/>
        </w:rPr>
        <w:t>（</w:t>
      </w:r>
      <w:r>
        <w:rPr>
          <w:rFonts w:hint="eastAsia" w:hAnsi="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eastAsia" w:hAnsi="仿宋_GB2312" w:cs="仿宋_GB2312"/>
          <w:szCs w:val="32"/>
          <w:lang w:val="en-US" w:eastAsia="zh-CN"/>
        </w:rPr>
      </w:pPr>
      <w:r>
        <w:rPr>
          <w:rFonts w:hint="eastAsia" w:hAnsi="仿宋_GB2312" w:cs="仿宋_GB2312"/>
          <w:szCs w:val="32"/>
          <w:lang w:val="en-US" w:eastAsia="zh-CN"/>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hAnsi="仿宋_GB2312" w:cs="仿宋_GB2312"/>
          <w:szCs w:val="32"/>
          <w:lang w:val="en-US" w:eastAsia="zh-CN"/>
        </w:rPr>
        <w:t> 5、至报名日止仍拖欠政府地价款的。</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default" w:ascii="Times New Roman" w:hAnsi="Times New Roman" w:eastAsia="仿宋_GB2312" w:cs="Times New Roman"/>
          <w:sz w:val="32"/>
          <w:szCs w:val="32"/>
        </w:rPr>
        <w:t>竞得人有下列行为之一的，取消竞得人资格，</w:t>
      </w:r>
      <w:r>
        <w:rPr>
          <w:rFonts w:hint="eastAsia" w:ascii="Times New Roman" w:hAnsi="Times New Roman" w:eastAsia="仿宋_GB2312" w:cs="Times New Roman"/>
          <w:sz w:val="32"/>
          <w:szCs w:val="32"/>
          <w:lang w:val="en-US" w:eastAsia="zh-CN"/>
        </w:rPr>
        <w:t>定金不予退还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并由有关部门依法处理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造成损失的，竞得人还应依法承担赔偿责任</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肆仟肆佰肆拾</w:t>
      </w:r>
      <w:r>
        <w:rPr>
          <w:rFonts w:hint="eastAsia" w:ascii="仿宋_GB2312" w:hAnsi="仿宋_GB2312" w:eastAsia="仿宋_GB2312" w:cs="仿宋_GB2312"/>
          <w:color w:val="auto"/>
          <w:sz w:val="32"/>
          <w:szCs w:val="32"/>
          <w:highlight w:val="none"/>
          <w:u w:val="single"/>
          <w:shd w:val="clear" w:color="auto" w:fill="auto"/>
        </w:rPr>
        <w:t>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rPr>
        <w:t>4440万元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18</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lang w:eastAsia="zh-CN"/>
        </w:rPr>
        <w:t>《建设用地规划设计条件》（PB20210052号)</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color w:val="auto"/>
          <w:sz w:val="32"/>
          <w:szCs w:val="32"/>
          <w:highlight w:val="none"/>
          <w:u w:val="single"/>
          <w:shd w:val="clear" w:color="auto" w:fill="auto"/>
          <w:lang w:val="en-US" w:eastAsia="zh-CN"/>
        </w:rPr>
        <w:t>壹仟叁佰叁拾贰万元</w:t>
      </w:r>
      <w:r>
        <w:rPr>
          <w:rFonts w:hint="eastAsia" w:ascii="仿宋_GB2312" w:hAnsi="仿宋_GB2312" w:eastAsia="仿宋_GB2312" w:cs="仿宋_GB2312"/>
          <w:color w:val="auto"/>
          <w:sz w:val="32"/>
          <w:szCs w:val="32"/>
          <w:highlight w:val="none"/>
          <w:u w:val="single"/>
          <w:shd w:val="clear" w:color="auto" w:fill="auto"/>
        </w:rPr>
        <w:t>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rPr>
        <w:t>1332万元</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10、中国光大银行股份有限公司惠州分行。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11、</w:t>
      </w:r>
      <w:r>
        <w:rPr>
          <w:rFonts w:hint="eastAsia" w:ascii="仿宋_GB2312" w:hAnsi="仿宋_GB2312" w:eastAsia="仿宋_GB2312" w:cs="仿宋_GB2312"/>
          <w:sz w:val="32"/>
          <w:szCs w:val="32"/>
          <w:highlight w:val="none"/>
          <w:shd w:val="clear" w:color="auto" w:fill="auto"/>
        </w:rPr>
        <w:t>中信银行股份有限公司惠州分行。(备注:中信银行股份有限公司惠州分行本行</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须到银行柜面办理)。</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2、竞得人应当在网上挂牌交易结果公布</w:t>
      </w:r>
      <w:r>
        <w:rPr>
          <w:rFonts w:hint="eastAsia" w:ascii="仿宋_GB2312" w:hAnsi="仿宋_GB2312" w:eastAsia="仿宋_GB2312" w:cs="仿宋_GB2312"/>
          <w:sz w:val="32"/>
          <w:szCs w:val="32"/>
          <w:highlight w:val="none"/>
          <w:shd w:val="clear" w:color="auto" w:fill="auto"/>
          <w:lang w:val="en-US" w:eastAsia="zh-CN"/>
        </w:rPr>
        <w:t>之日起5</w:t>
      </w:r>
      <w:r>
        <w:rPr>
          <w:rFonts w:hint="eastAsia" w:ascii="仿宋_GB2312" w:hAnsi="仿宋_GB2312" w:eastAsia="仿宋_GB2312" w:cs="仿宋_GB2312"/>
          <w:sz w:val="32"/>
          <w:szCs w:val="32"/>
          <w:highlight w:val="none"/>
          <w:shd w:val="clear" w:color="auto" w:fill="auto"/>
        </w:rPr>
        <w:t>个工作日内持公司公章及下列有关纸质材料到本中心进行</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符合竞买资格的，竞得人应当在网上挂牌交易信息结果公布之日起5个工作日内签订《成交确认书</w:t>
      </w:r>
      <w:bookmarkStart w:id="8" w:name="_GoBack"/>
      <w:bookmarkEnd w:id="8"/>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提交惠城区发改局出具的与该宗地块规划确定的产业类型一致的优先发展产业项目文件。</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pStyle w:val="2"/>
        <w:shd w:val="clear"/>
        <w:ind w:left="0" w:leftChars="0" w:firstLine="640" w:firstLineChars="0"/>
        <w:rPr>
          <w:rFonts w:hint="default"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3、经审查，符合</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b w:val="0"/>
          <w:bCs w:val="0"/>
          <w:sz w:val="32"/>
          <w:szCs w:val="32"/>
          <w:highlight w:val="none"/>
          <w:shd w:val="clear" w:color="auto" w:fill="auto"/>
          <w:lang w:val="en-US" w:eastAsia="zh-CN"/>
        </w:rPr>
        <w:t>资格的，竞得人应当按挂牌文件的约定时间与本中心及出让人签订《成交确认书》；经审查，不符合竞买资格的，按本须知第六条处理。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宋体" w:eastAsia="仿宋_GB2312" w:cs="宋体"/>
          <w:color w:val="auto"/>
          <w:kern w:val="0"/>
          <w:sz w:val="32"/>
          <w:szCs w:val="32"/>
          <w:highlight w:val="none"/>
          <w:shd w:val="clear" w:color="auto" w:fill="auto"/>
        </w:rPr>
        <w:t>即新公司的股东必须100%是竞买申请企业作为法人的股东</w:t>
      </w:r>
      <w:r>
        <w:rPr>
          <w:rFonts w:hint="eastAsia" w:ascii="仿宋_GB2312" w:hAnsi="仿宋_GB2312" w:eastAsia="仿宋_GB2312" w:cs="仿宋_GB2312"/>
          <w:sz w:val="32"/>
          <w:szCs w:val="32"/>
          <w:highlight w:val="none"/>
          <w:shd w:val="clear" w:color="auto" w:fill="auto"/>
        </w:rPr>
        <w:t>。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numPr>
          <w:ilvl w:val="0"/>
          <w:numId w:val="1"/>
        </w:num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numPr>
          <w:ilvl w:val="0"/>
          <w:numId w:val="0"/>
        </w:num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shd w:val="clear"/>
        <w:rPr>
          <w:highlight w:val="none"/>
          <w:shd w:val="clear" w:color="auto" w:fill="auto"/>
        </w:rPr>
      </w:pPr>
    </w:p>
    <w:p>
      <w:pPr>
        <w:pStyle w:val="2"/>
        <w:shd w:val="clear"/>
        <w:rPr>
          <w:highlight w:val="none"/>
          <w:shd w:val="clear" w:color="auto" w:fill="auto"/>
        </w:rPr>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2021年9月24日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4214A8"/>
    <w:multiLevelType w:val="singleLevel"/>
    <w:tmpl w:val="944214A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0708B1"/>
    <w:rsid w:val="01B51C7D"/>
    <w:rsid w:val="031A11BD"/>
    <w:rsid w:val="042C6BAB"/>
    <w:rsid w:val="04BB2A35"/>
    <w:rsid w:val="04F7599A"/>
    <w:rsid w:val="05280DC9"/>
    <w:rsid w:val="054F511E"/>
    <w:rsid w:val="05616BEE"/>
    <w:rsid w:val="05AA6043"/>
    <w:rsid w:val="065D58C0"/>
    <w:rsid w:val="06E22DF8"/>
    <w:rsid w:val="071F73B3"/>
    <w:rsid w:val="077D5D24"/>
    <w:rsid w:val="07F629A0"/>
    <w:rsid w:val="091E26EA"/>
    <w:rsid w:val="09317644"/>
    <w:rsid w:val="0A812477"/>
    <w:rsid w:val="0B1406EF"/>
    <w:rsid w:val="0C40433F"/>
    <w:rsid w:val="0C8642BF"/>
    <w:rsid w:val="0DCB3B54"/>
    <w:rsid w:val="0FB217AF"/>
    <w:rsid w:val="0FB2799E"/>
    <w:rsid w:val="10152918"/>
    <w:rsid w:val="105A2768"/>
    <w:rsid w:val="10A1573B"/>
    <w:rsid w:val="10B43BC1"/>
    <w:rsid w:val="111E117E"/>
    <w:rsid w:val="11A17A14"/>
    <w:rsid w:val="12295A9F"/>
    <w:rsid w:val="141106B3"/>
    <w:rsid w:val="14924D3E"/>
    <w:rsid w:val="15BB632B"/>
    <w:rsid w:val="15C4392F"/>
    <w:rsid w:val="15D340EA"/>
    <w:rsid w:val="16615977"/>
    <w:rsid w:val="168C318D"/>
    <w:rsid w:val="16AE6DA7"/>
    <w:rsid w:val="170F4C1C"/>
    <w:rsid w:val="18220C10"/>
    <w:rsid w:val="1960257D"/>
    <w:rsid w:val="19D941D6"/>
    <w:rsid w:val="19F36C6A"/>
    <w:rsid w:val="1C431BA6"/>
    <w:rsid w:val="1CB6407B"/>
    <w:rsid w:val="1DE56E00"/>
    <w:rsid w:val="1E4A3E3B"/>
    <w:rsid w:val="1E9B31A0"/>
    <w:rsid w:val="1ED73189"/>
    <w:rsid w:val="1F1E4268"/>
    <w:rsid w:val="1FB40316"/>
    <w:rsid w:val="20855E22"/>
    <w:rsid w:val="21587C67"/>
    <w:rsid w:val="22463965"/>
    <w:rsid w:val="2249566B"/>
    <w:rsid w:val="22661D8C"/>
    <w:rsid w:val="22DC01FC"/>
    <w:rsid w:val="23141DA3"/>
    <w:rsid w:val="247C6354"/>
    <w:rsid w:val="256A5D13"/>
    <w:rsid w:val="259D34B7"/>
    <w:rsid w:val="25D63F7C"/>
    <w:rsid w:val="26391FD0"/>
    <w:rsid w:val="26741665"/>
    <w:rsid w:val="270B4267"/>
    <w:rsid w:val="272C05B0"/>
    <w:rsid w:val="282C1E6E"/>
    <w:rsid w:val="28D2352A"/>
    <w:rsid w:val="28ED736B"/>
    <w:rsid w:val="29220F8B"/>
    <w:rsid w:val="29DE5841"/>
    <w:rsid w:val="2A636D11"/>
    <w:rsid w:val="2AA45603"/>
    <w:rsid w:val="2AE43BE2"/>
    <w:rsid w:val="2B1A2077"/>
    <w:rsid w:val="2CA246FC"/>
    <w:rsid w:val="2CD752D7"/>
    <w:rsid w:val="2D027EED"/>
    <w:rsid w:val="2D2632FD"/>
    <w:rsid w:val="2DEB4267"/>
    <w:rsid w:val="2E9B6EAE"/>
    <w:rsid w:val="2F0337D6"/>
    <w:rsid w:val="2F944F64"/>
    <w:rsid w:val="2FA2409E"/>
    <w:rsid w:val="30AC5587"/>
    <w:rsid w:val="30DB33EE"/>
    <w:rsid w:val="313D23E2"/>
    <w:rsid w:val="31880862"/>
    <w:rsid w:val="31B60A9D"/>
    <w:rsid w:val="324E22EE"/>
    <w:rsid w:val="33A33367"/>
    <w:rsid w:val="33CE0AAA"/>
    <w:rsid w:val="34B40523"/>
    <w:rsid w:val="34C41D04"/>
    <w:rsid w:val="34CD617E"/>
    <w:rsid w:val="360B04FE"/>
    <w:rsid w:val="378C6660"/>
    <w:rsid w:val="37FB7A76"/>
    <w:rsid w:val="38DE5E51"/>
    <w:rsid w:val="390E539D"/>
    <w:rsid w:val="3C4A4143"/>
    <w:rsid w:val="3C5E598F"/>
    <w:rsid w:val="3C8F0E4F"/>
    <w:rsid w:val="3CAD2EC5"/>
    <w:rsid w:val="3CB81CC8"/>
    <w:rsid w:val="3D322E34"/>
    <w:rsid w:val="3D34683B"/>
    <w:rsid w:val="3D5E1016"/>
    <w:rsid w:val="3DAA2FBD"/>
    <w:rsid w:val="3FB91BA4"/>
    <w:rsid w:val="3FC22752"/>
    <w:rsid w:val="40E61B2F"/>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566E44"/>
    <w:rsid w:val="48593E6F"/>
    <w:rsid w:val="48B510E7"/>
    <w:rsid w:val="493B6F1B"/>
    <w:rsid w:val="4AFF2E69"/>
    <w:rsid w:val="4BA610FC"/>
    <w:rsid w:val="4BEE1CA4"/>
    <w:rsid w:val="4CF51C39"/>
    <w:rsid w:val="4D1F6077"/>
    <w:rsid w:val="4ED2701A"/>
    <w:rsid w:val="4F1E4BBE"/>
    <w:rsid w:val="4F3537ED"/>
    <w:rsid w:val="4FFE1B2F"/>
    <w:rsid w:val="51467837"/>
    <w:rsid w:val="52132F5D"/>
    <w:rsid w:val="528F1625"/>
    <w:rsid w:val="52AA5DFE"/>
    <w:rsid w:val="533F6C66"/>
    <w:rsid w:val="544F17E9"/>
    <w:rsid w:val="546D5003"/>
    <w:rsid w:val="54943EAC"/>
    <w:rsid w:val="54C11818"/>
    <w:rsid w:val="55130114"/>
    <w:rsid w:val="58AC5C79"/>
    <w:rsid w:val="58B217DC"/>
    <w:rsid w:val="58FE24B1"/>
    <w:rsid w:val="59693A9B"/>
    <w:rsid w:val="5A154FE3"/>
    <w:rsid w:val="5AEE4F52"/>
    <w:rsid w:val="5B0C2732"/>
    <w:rsid w:val="5B1D2CCC"/>
    <w:rsid w:val="5B52670E"/>
    <w:rsid w:val="5B625B54"/>
    <w:rsid w:val="5B640509"/>
    <w:rsid w:val="5B8E3054"/>
    <w:rsid w:val="5C943765"/>
    <w:rsid w:val="5D006096"/>
    <w:rsid w:val="5D731ABE"/>
    <w:rsid w:val="5DB15592"/>
    <w:rsid w:val="5DF81F1B"/>
    <w:rsid w:val="5DFB50B1"/>
    <w:rsid w:val="5E2E0948"/>
    <w:rsid w:val="600D408B"/>
    <w:rsid w:val="610A5EBF"/>
    <w:rsid w:val="61245A3C"/>
    <w:rsid w:val="6178185B"/>
    <w:rsid w:val="617F00E3"/>
    <w:rsid w:val="61C04C47"/>
    <w:rsid w:val="61C170AA"/>
    <w:rsid w:val="626D5569"/>
    <w:rsid w:val="62D03E81"/>
    <w:rsid w:val="62D41879"/>
    <w:rsid w:val="6398078D"/>
    <w:rsid w:val="641A28B3"/>
    <w:rsid w:val="648A18F5"/>
    <w:rsid w:val="64C30585"/>
    <w:rsid w:val="651C53A6"/>
    <w:rsid w:val="656B5E9D"/>
    <w:rsid w:val="659D6FA9"/>
    <w:rsid w:val="65F2007E"/>
    <w:rsid w:val="66C13377"/>
    <w:rsid w:val="67927D39"/>
    <w:rsid w:val="68085778"/>
    <w:rsid w:val="688B43B5"/>
    <w:rsid w:val="68EE1292"/>
    <w:rsid w:val="69B07B1E"/>
    <w:rsid w:val="69E22ED5"/>
    <w:rsid w:val="6A15326A"/>
    <w:rsid w:val="6AA821A5"/>
    <w:rsid w:val="6B8A6BF3"/>
    <w:rsid w:val="6BFA1460"/>
    <w:rsid w:val="6C013F77"/>
    <w:rsid w:val="6C181FB4"/>
    <w:rsid w:val="6C197CDD"/>
    <w:rsid w:val="6C5A6DDE"/>
    <w:rsid w:val="6C611252"/>
    <w:rsid w:val="6CCC1A8E"/>
    <w:rsid w:val="6E1E50A4"/>
    <w:rsid w:val="6FCE2720"/>
    <w:rsid w:val="705B684C"/>
    <w:rsid w:val="714F5518"/>
    <w:rsid w:val="71AB46C8"/>
    <w:rsid w:val="74CC0B4E"/>
    <w:rsid w:val="74D35F13"/>
    <w:rsid w:val="755C76C8"/>
    <w:rsid w:val="75E43E25"/>
    <w:rsid w:val="76382CBE"/>
    <w:rsid w:val="76B47A3E"/>
    <w:rsid w:val="76DA197A"/>
    <w:rsid w:val="77A91566"/>
    <w:rsid w:val="77E167B8"/>
    <w:rsid w:val="78591F3E"/>
    <w:rsid w:val="78CA1EAE"/>
    <w:rsid w:val="792409A3"/>
    <w:rsid w:val="7A881483"/>
    <w:rsid w:val="7AE44F5D"/>
    <w:rsid w:val="7B3065F7"/>
    <w:rsid w:val="7B405936"/>
    <w:rsid w:val="7B4F2E9A"/>
    <w:rsid w:val="7B8363CD"/>
    <w:rsid w:val="7C8A682E"/>
    <w:rsid w:val="7D5207DE"/>
    <w:rsid w:val="7E29024A"/>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4</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杨惠丹</cp:lastModifiedBy>
  <cp:lastPrinted>2021-09-16T03:09:00Z</cp:lastPrinted>
  <dcterms:modified xsi:type="dcterms:W3CDTF">2021-09-27T06:41:56Z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