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043</w:t>
      </w:r>
      <w:r>
        <w:rPr>
          <w:rFonts w:hint="eastAsia" w:ascii="仿宋_GB2312" w:hAnsi="仿宋_GB2312" w:eastAsia="仿宋_GB2312" w:cs="仿宋_GB2312"/>
          <w:sz w:val="32"/>
          <w:szCs w:val="32"/>
          <w:highlight w:val="none"/>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二、网上挂牌竞买时间为</w:t>
      </w:r>
      <w:r>
        <w:rPr>
          <w:rFonts w:hint="eastAsia" w:ascii="仿宋_GB2312" w:hAnsi="仿宋_GB2312" w:eastAsia="仿宋_GB2312" w:cs="仿宋_GB2312"/>
          <w:sz w:val="32"/>
          <w:szCs w:val="32"/>
          <w:highlight w:val="none"/>
          <w:lang w:val="en-US" w:eastAsia="zh-CN"/>
        </w:rPr>
        <w:t>2021年11月15日9</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2021年11月29日10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三、挂牌起始价为人民币146400万元,每次报价加价幅度为人民币1000万元的整数倍。</w:t>
      </w:r>
    </w:p>
    <w:p>
      <w:pPr>
        <w:spacing w:line="520" w:lineRule="exact"/>
        <w:ind w:firstLine="720" w:firstLineChars="225"/>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val="en-US" w:eastAsia="zh-CN"/>
        </w:rPr>
        <w:t>竞买资格及要求</w:t>
      </w:r>
    </w:p>
    <w:p>
      <w:pPr>
        <w:spacing w:line="520" w:lineRule="exact"/>
        <w:ind w:firstLine="720" w:firstLineChars="225"/>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r>
        <w:rPr>
          <w:rFonts w:hint="eastAsia" w:ascii="仿宋_GB2312" w:hAnsi="仿宋_GB2312" w:eastAsia="仿宋_GB2312" w:cs="仿宋_GB231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1、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r>
        <w:rPr>
          <w:rFonts w:hint="eastAsia" w:ascii="仿宋_GB2312" w:hAnsi="仿宋_GB2312" w:eastAsia="仿宋_GB2312" w:cs="仿宋_GB231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2、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r>
        <w:rPr>
          <w:rFonts w:hint="eastAsia" w:ascii="仿宋_GB2312" w:hAnsi="仿宋_GB2312" w:eastAsia="仿宋_GB2312" w:cs="仿宋_GB2312"/>
          <w:szCs w:val="32"/>
          <w:highlight w:val="none"/>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default" w:ascii="Times New Roman" w:hAnsi="Times New Roman" w:eastAsia="仿宋_GB2312" w:cs="Times New Roman"/>
          <w:kern w:val="2"/>
          <w:sz w:val="32"/>
          <w:szCs w:val="32"/>
          <w:highlight w:val="none"/>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二</w:t>
      </w:r>
      <w:r>
        <w:rPr>
          <w:rFonts w:hint="eastAsia" w:ascii="仿宋_GB2312" w:hAnsi="仿宋_GB2312" w:eastAsia="仿宋_GB2312" w:cs="仿宋_GB2312"/>
          <w:kern w:val="2"/>
          <w:sz w:val="32"/>
          <w:szCs w:val="32"/>
          <w:highlight w:val="none"/>
          <w:lang w:val="en-US" w:eastAsia="zh-CN" w:bidi="ar-SA"/>
        </w:rPr>
        <w:t>）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网上挂牌交易结束后提交相应证明并对上述要求作出承诺</w:t>
      </w:r>
      <w:r>
        <w:rPr>
          <w:rFonts w:hint="default" w:ascii="仿宋_GB2312" w:hAnsi="仿宋_GB2312" w:eastAsia="仿宋_GB2312" w:cs="仿宋_GB2312"/>
          <w:szCs w:val="32"/>
          <w:highlight w:val="none"/>
          <w:lang w:val="en-US"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Cs w:val="32"/>
          <w:highlight w:val="none"/>
        </w:rPr>
        <w:t>对于经审查资金来源不符合要求的，根据情况采取取消参与资格竞买、取消竞得资格、解除土地出让合同或收回已出让土地等措施，竞买保证金不予返还，一年内不得在惠州市参加土地竞买</w:t>
      </w:r>
      <w:r>
        <w:rPr>
          <w:rFonts w:hint="eastAsia" w:ascii="仿宋_GB2312" w:hAnsi="仿宋_GB2312" w:eastAsia="仿宋_GB2312" w:cs="仿宋_GB2312"/>
          <w:kern w:val="2"/>
          <w:sz w:val="32"/>
          <w:szCs w:val="32"/>
          <w:highlight w:val="none"/>
          <w:lang w:val="en-US" w:eastAsia="zh-CN" w:bidi="ar-SA"/>
        </w:rPr>
        <w:t>。</w:t>
      </w:r>
    </w:p>
    <w:p>
      <w:pPr>
        <w:pStyle w:val="4"/>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Cs w:val="32"/>
          <w:highlight w:val="none"/>
          <w:lang w:val="en-US" w:eastAsia="zh-CN"/>
        </w:rPr>
        <w:t>五</w:t>
      </w:r>
      <w:r>
        <w:rPr>
          <w:rFonts w:hint="eastAsia" w:ascii="仿宋_GB2312" w:hAnsi="仿宋_GB2312" w:eastAsia="仿宋_GB2312" w:cs="仿宋_GB2312"/>
          <w:szCs w:val="32"/>
          <w:highlight w:val="none"/>
        </w:rPr>
        <w:t>、该宗地竞买保证金可用人民币及外币（暂限于美元、港币）支付</w:t>
      </w:r>
      <w:r>
        <w:rPr>
          <w:rFonts w:hint="eastAsia" w:ascii="仿宋_GB2312" w:hAnsi="仿宋_GB2312" w:eastAsia="仿宋_GB2312" w:cs="仿宋_GB2312"/>
          <w:szCs w:val="32"/>
          <w:highlight w:val="none"/>
          <w:lang w:eastAsia="zh-CN"/>
        </w:rPr>
        <w:t>。</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、申请人应具备的其他条件：</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一）缴交竞买保证金43920万元人民币，如以外币缴交竞买保证金的，须缴交美元6828万元、港币53127万元</w:t>
      </w:r>
      <w:r>
        <w:rPr>
          <w:rFonts w:hint="eastAsia" w:ascii="仿宋_GB2312" w:hAnsi="仿宋_GB2312" w:eastAsia="仿宋_GB2312" w:cs="仿宋_GB2312"/>
          <w:szCs w:val="32"/>
          <w:highlight w:val="none"/>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（二）存在下列违法违规违约行为之一的企业及其控股股东，不得参与竞买上述地块：</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1、存在伪造公文骗取用地和非法倒卖土地等犯罪行为的；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2、存在非法转让土地使用权等违法行为的；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3、因企业原因造成土地闲置一年以上且至报名日止未处罚完结的；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4、开发建设企业有违背出让合同约定条件开发利用土地情形且至报名日止未处罚完结的；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5、至报名日止仍拖欠政府地价款的;</w:t>
      </w:r>
    </w:p>
    <w:p>
      <w:pPr>
        <w:pStyle w:val="4"/>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6、被列入问题楼盘开发企业黑名单的;</w:t>
      </w:r>
    </w:p>
    <w:p>
      <w:pPr>
        <w:keepNext w:val="0"/>
        <w:keepLines w:val="0"/>
        <w:pageBreakBefore w:val="0"/>
        <w:kinsoku/>
        <w:wordWrap/>
        <w:overflowPunct/>
        <w:topLinePunct w:val="0"/>
        <w:autoSpaceDE/>
        <w:autoSpaceDN/>
        <w:bidi w:val="0"/>
        <w:spacing w:line="640" w:lineRule="atLeast"/>
        <w:ind w:firstLine="627" w:firstLineChars="196"/>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lang w:val="en-US" w:eastAsia="zh-CN"/>
        </w:rPr>
        <w:t>7、购地资金超过“三道红线”，存在重大失信行为的</w:t>
      </w:r>
      <w:r>
        <w:rPr>
          <w:rFonts w:hint="eastAsia" w:ascii="仿宋_GB2312" w:hAnsi="仿宋_GB2312" w:eastAsia="仿宋_GB2312" w:cs="仿宋_GB2312"/>
          <w:color w:val="auto"/>
          <w:kern w:val="2"/>
          <w:sz w:val="32"/>
          <w:szCs w:val="32"/>
          <w:highlight w:val="none"/>
        </w:rPr>
        <w:t>；</w:t>
      </w:r>
    </w:p>
    <w:p>
      <w:pPr>
        <w:pStyle w:val="4"/>
        <w:keepNext w:val="0"/>
        <w:keepLines w:val="0"/>
        <w:pageBreakBefore w:val="0"/>
        <w:widowControl w:val="0"/>
        <w:kinsoku/>
        <w:wordWrap/>
        <w:overflowPunct/>
        <w:topLinePunct w:val="0"/>
        <w:bidi w:val="0"/>
        <w:spacing w:before="0" w:line="560" w:lineRule="exac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rPr>
        <w:t>存在其它被禁止竞买土地行为的</w:t>
      </w:r>
      <w:r>
        <w:rPr>
          <w:rFonts w:hint="eastAsia" w:ascii="仿宋_GB2312" w:hAnsi="仿宋_GB2312" w:eastAsia="仿宋_GB2312" w:cs="仿宋_GB231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、本次国有建设用地使用权网上挂牌竞价达到168360万元时，转为采取摇号方式确定竞得人。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、申请人应当在网上挂牌出让结束前</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rPr>
        <w:t>惠州市公共资源交易中心土地与矿业网上挂牌交易系统并在系统上向惠州市公共资源交易中心提交竞买申请并支付保证金。网上挂牌保证金到账截止时间为</w:t>
      </w:r>
      <w:r>
        <w:rPr>
          <w:rFonts w:hint="eastAsia" w:ascii="仿宋_GB2312" w:hAnsi="仿宋_GB2312" w:eastAsia="仿宋_GB2312" w:cs="仿宋_GB2312"/>
          <w:sz w:val="32"/>
          <w:szCs w:val="32"/>
          <w:highlight w:val="none"/>
          <w:lang w:val="en-US" w:eastAsia="zh-CN"/>
        </w:rPr>
        <w:t>2021年11月29日上</w:t>
      </w:r>
      <w:r>
        <w:rPr>
          <w:rFonts w:hint="eastAsia" w:ascii="仿宋_GB2312" w:hAnsi="仿宋_GB2312" w:eastAsia="仿宋_GB2312" w:cs="仿宋_GB2312"/>
          <w:sz w:val="32"/>
          <w:szCs w:val="32"/>
          <w:highlight w:val="none"/>
        </w:rPr>
        <w:t>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时止</w:t>
      </w:r>
      <w:r>
        <w:rPr>
          <w:rFonts w:hint="eastAsia" w:ascii="仿宋_GB2312" w:hAns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w:t>
      </w:r>
      <w:r>
        <w:rPr>
          <w:rFonts w:hint="eastAsia" w:ascii="仿宋_GB2312" w:hAnsi="仿宋_GB2312" w:eastAsia="仿宋_GB2312" w:cs="仿宋_GB2312"/>
          <w:sz w:val="32"/>
          <w:szCs w:val="32"/>
          <w:highlight w:val="none"/>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（一）该地块所建单套毛坯商品住宅销售单价不高于19615元/㎡。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（二）开发投资总额不少于217725万元（含地价,不含地价溢价部分）。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（四）竞得人在用地红线内开发建设必须符合城市规划要求，必须按《规划设计条件告知书》（案卷编号：PB20210065）规划控制指标要求及有关规定进行规划设计。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（五）该地属政府储备地，没有法律经济纠纷，具备动工开发所必须的基本条件。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（六）竞得人须按《规划设计条件告知书》（案卷编号：PB20210065）要求配建相关配套设施。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eastAsia" w:ascii="仿宋_GB2312" w:hAnsi="仿宋_GB2312" w:eastAsia="仿宋_GB2312" w:cs="仿宋_GB2312"/>
          <w:color w:val="auto"/>
          <w:sz w:val="32"/>
          <w:szCs w:val="32"/>
          <w:highlight w:val="none"/>
        </w:rPr>
        <w:t>（七）竞得人须配建总建筑面积不低于11888㎡的安置房并无偿移交政府，安置房套数、户型等详见安置房建设与移交协议。配建安置房建筑面积计入该宗地计算容积率建筑面积。竞得人在竞得地块后须先与惠城区国有资产监督管理局签订安置房建设与移交协议后方可与市自然资源局签订《国有建设用地使用权出让合同》</w:t>
      </w:r>
      <w:r>
        <w:rPr>
          <w:rFonts w:hint="eastAsia" w:ascii="Times New Roman" w:hAnsi="Times New Roman" w:eastAsia="仿宋_GB2312" w:cs="Times New Roman"/>
          <w:color w:val="auto"/>
          <w:kern w:val="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lang w:eastAsia="zh-CN"/>
        </w:rPr>
        <w:t>）竞得人须按照规划要求和惠城区教育局提出的建设标准承担JBD54-04-01地块规划的24班小学和JBD54-04-02地块规划的12班幼儿园、3班幼儿园及配套设施建设并无偿移交给惠城区教育局，且小学和幼儿园须与JBD54-05、JBD54-06、JBD54-07地块同步规划设计、同步建设、同步验收交付使用，如JBD54-05、JBD54-06、JBD54-07地块分期建设，小学和幼儿园应纳入首期工程。JBD54-04-01、JBD54-04-02地块同步划拨至惠城区教育局名下，按照300元/㎡标准计收土地成本费用，用地性质为划拨用地。JBD54-04-01地块操场下须配建地下社会公共停车位不少于200个，建成后无偿移交给政府相关部门。</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（九）竞得人须按规划要求承担JBD54-04-01、JBD54-04-02、JBD54-05、JBD54-06、JBD54-07地块围合区内宝源路和金枝三路（包括雨水管、污水管、电力电缆沟和通信管群）的建设，建成后无偿给政府相关部门</w:t>
      </w:r>
      <w:r>
        <w:rPr>
          <w:rFonts w:hint="eastAsia" w:ascii="仿宋_GB2312" w:hAnsi="仿宋_GB2312" w:eastAsia="仿宋_GB2312" w:cs="仿宋_GB2312"/>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（十）竞得人有下列行为之一的，取消竞得人资格，竞买保证金不予退还,并由有关部门依法处理;造成损失的，竞得人还应依法承担赔偿责任：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1、不符合竞买资格条件的；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3、竞得人以其他非法手段竞得的；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64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十一</w:t>
      </w:r>
      <w:r>
        <w:rPr>
          <w:rFonts w:hint="eastAsia" w:ascii="仿宋_GB2312" w:hAnsi="仿宋_GB2312" w:eastAsia="仿宋_GB2312" w:cs="仿宋_GB2312"/>
          <w:sz w:val="32"/>
          <w:szCs w:val="32"/>
          <w:highlight w:val="none"/>
        </w:rPr>
        <w:t>）挂牌出让价款不含应由竞得人缴纳的契税、印花税等有关费用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sz w:val="32"/>
          <w:szCs w:val="32"/>
          <w:highlight w:val="none"/>
        </w:rPr>
        <w:t>惠州市江北三新南路7号</w:t>
      </w:r>
    </w:p>
    <w:p>
      <w:pPr>
        <w:spacing w:line="520" w:lineRule="exact"/>
        <w:ind w:right="640" w:firstLine="640" w:firstLineChars="200"/>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联系人：</w:t>
      </w:r>
      <w:r>
        <w:rPr>
          <w:rFonts w:hint="eastAsia" w:eastAsia="仿宋_GB2312" w:cs="Times New Roman"/>
          <w:sz w:val="32"/>
          <w:szCs w:val="32"/>
          <w:highlight w:val="none"/>
          <w:lang w:val="en-US" w:eastAsia="zh-CN"/>
        </w:rPr>
        <w:t>胡</w:t>
      </w:r>
      <w:r>
        <w:rPr>
          <w:rFonts w:hint="default" w:ascii="Times New Roman" w:hAnsi="Times New Roman" w:eastAsia="仿宋_GB2312" w:cs="Times New Roman"/>
          <w:sz w:val="32"/>
          <w:szCs w:val="32"/>
          <w:highlight w:val="none"/>
          <w:lang w:val="en-US" w:eastAsia="zh-CN"/>
        </w:rPr>
        <w:t>工</w:t>
      </w:r>
    </w:p>
    <w:p>
      <w:pPr>
        <w:spacing w:line="520" w:lineRule="exact"/>
        <w:ind w:right="640" w:firstLine="640" w:firstLineChars="200"/>
        <w:rPr>
          <w:rFonts w:hint="default"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rPr>
        <w:t>联系电话：</w:t>
      </w:r>
      <w:r>
        <w:rPr>
          <w:rFonts w:hint="default" w:ascii="仿宋_GB2312" w:hAnsi="仿宋_GB2312" w:eastAsia="仿宋_GB2312" w:cs="仿宋_GB2312"/>
          <w:color w:val="auto"/>
          <w:kern w:val="2"/>
          <w:sz w:val="32"/>
          <w:szCs w:val="32"/>
          <w:highlight w:val="none"/>
          <w:lang w:val="en-US" w:eastAsia="zh-CN" w:bidi="ar-SA"/>
        </w:rPr>
        <w:t>（0752）</w:t>
      </w:r>
      <w:r>
        <w:rPr>
          <w:rFonts w:hint="eastAsia" w:ascii="仿宋_GB2312" w:hAnsi="仿宋_GB2312" w:eastAsia="仿宋_GB2312" w:cs="仿宋_GB2312"/>
          <w:color w:val="auto"/>
          <w:kern w:val="2"/>
          <w:sz w:val="32"/>
          <w:szCs w:val="32"/>
          <w:highlight w:val="none"/>
          <w:lang w:val="en-US" w:eastAsia="zh-CN" w:bidi="ar-SA"/>
        </w:rPr>
        <w:t>2896413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w:t>
      </w:r>
      <w:r>
        <w:rPr>
          <w:rFonts w:hint="eastAsia" w:ascii="仿宋_GB2312" w:hAnsi="仿宋_GB2312" w:eastAsia="仿宋_GB2312" w:cs="仿宋_GB2312"/>
          <w:sz w:val="32"/>
          <w:szCs w:val="32"/>
          <w:highlight w:val="none"/>
          <w:lang w:val="en-US" w:eastAsia="zh-CN"/>
        </w:rPr>
        <w:t>惠城区三新北路31号市民服务中心3号楼</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hint="eastAsia" w:ascii="仿宋_GB2312" w:hAnsi="仿宋_GB2312" w:eastAsia="仿宋_GB2312" w:cs="仿宋_GB2312"/>
          <w:color w:val="696969"/>
          <w:sz w:val="32"/>
          <w:szCs w:val="32"/>
          <w:highlight w:val="none"/>
        </w:rPr>
      </w:pPr>
      <w:r>
        <w:rPr>
          <w:rFonts w:hint="eastAsia" w:ascii="仿宋_GB2312" w:hAnsi="仿宋_GB2312" w:eastAsia="仿宋_GB2312" w:cs="仿宋_GB2312"/>
          <w:sz w:val="32"/>
          <w:szCs w:val="32"/>
          <w:highlight w:val="none"/>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2021年10月25日</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附表</w:t>
      </w:r>
    </w:p>
    <w:tbl>
      <w:tblPr>
        <w:tblStyle w:val="9"/>
        <w:tblpPr w:leftFromText="180" w:rightFromText="180" w:vertAnchor="text" w:horzAnchor="page" w:tblpX="915" w:tblpY="1171"/>
        <w:tblOverlap w:val="never"/>
        <w:tblW w:w="10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905"/>
        <w:gridCol w:w="510"/>
        <w:gridCol w:w="631"/>
        <w:gridCol w:w="1004"/>
        <w:gridCol w:w="900"/>
        <w:gridCol w:w="877"/>
        <w:gridCol w:w="645"/>
        <w:gridCol w:w="1088"/>
        <w:gridCol w:w="760"/>
        <w:gridCol w:w="840"/>
        <w:gridCol w:w="675"/>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4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20" w:lineRule="exact"/>
              <w:ind w:firstLine="0" w:firstLineChars="0"/>
              <w:jc w:val="both"/>
              <w:rPr>
                <w:rFonts w:hint="default" w:eastAsia="仿宋_GB2312"/>
                <w:b/>
                <w:sz w:val="21"/>
                <w:szCs w:val="21"/>
                <w:highlight w:val="none"/>
              </w:rPr>
            </w:pPr>
            <w:r>
              <w:rPr>
                <w:rFonts w:hint="eastAsia" w:eastAsia="仿宋_GB2312"/>
                <w:b/>
                <w:sz w:val="21"/>
                <w:szCs w:val="21"/>
                <w:highlight w:val="none"/>
              </w:rPr>
              <w:t>挂牌地块编号</w:t>
            </w:r>
          </w:p>
        </w:tc>
        <w:tc>
          <w:tcPr>
            <w:tcW w:w="9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土地</w:t>
            </w:r>
          </w:p>
          <w:p>
            <w:pPr>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位置</w:t>
            </w:r>
          </w:p>
        </w:tc>
        <w:tc>
          <w:tcPr>
            <w:tcW w:w="51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snapToGri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用地编号</w:t>
            </w:r>
          </w:p>
        </w:tc>
        <w:tc>
          <w:tcPr>
            <w:tcW w:w="63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snapToGri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土地</w:t>
            </w:r>
          </w:p>
          <w:p>
            <w:pPr>
              <w:adjustRightInd/>
              <w:snapToGri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用途</w:t>
            </w:r>
          </w:p>
        </w:tc>
        <w:tc>
          <w:tcPr>
            <w:tcW w:w="6789" w:type="dxa"/>
            <w:gridSpan w:val="8"/>
            <w:tcBorders>
              <w:top w:val="single" w:color="auto" w:sz="4" w:space="0"/>
              <w:left w:val="single" w:color="auto" w:sz="4" w:space="0"/>
              <w:bottom w:val="single" w:color="auto" w:sz="4" w:space="0"/>
              <w:right w:val="single" w:color="auto" w:sz="4" w:space="0"/>
              <w:tl2br w:val="nil"/>
              <w:tr2bl w:val="nil"/>
            </w:tcBorders>
            <w:vAlign w:val="center"/>
          </w:tcPr>
          <w:p>
            <w:pPr>
              <w:adjustRightInd/>
              <w:snapToGrid/>
              <w:spacing w:beforeLines="0" w:afterLines="0" w:line="320" w:lineRule="exact"/>
              <w:ind w:left="0" w:leftChars="0" w:firstLine="0" w:firstLineChars="0"/>
              <w:jc w:val="center"/>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规划指标要求</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eastAsia="仿宋_GB2312"/>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9" w:hRule="atLeast"/>
          <w:jc w:val="center"/>
        </w:trPr>
        <w:tc>
          <w:tcPr>
            <w:tcW w:w="4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320" w:lineRule="exact"/>
              <w:jc w:val="center"/>
              <w:rPr>
                <w:rFonts w:hint="default" w:eastAsia="仿宋_GB2312"/>
                <w:b/>
                <w:sz w:val="21"/>
                <w:szCs w:val="22"/>
                <w:highlight w:val="none"/>
              </w:rPr>
            </w:pPr>
          </w:p>
        </w:tc>
        <w:tc>
          <w:tcPr>
            <w:tcW w:w="9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snapToGrid/>
              <w:spacing w:beforeLines="0" w:afterLines="0" w:line="320" w:lineRule="exact"/>
              <w:ind w:firstLine="0" w:firstLineChars="0"/>
              <w:jc w:val="both"/>
              <w:rPr>
                <w:rFonts w:hint="eastAsia" w:ascii="Times New Roman" w:hAnsi="Times New Roman" w:eastAsia="仿宋_GB2312"/>
                <w:b/>
                <w:sz w:val="21"/>
                <w:szCs w:val="21"/>
                <w:highlight w:val="none"/>
              </w:rPr>
            </w:pPr>
          </w:p>
        </w:tc>
        <w:tc>
          <w:tcPr>
            <w:tcW w:w="51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snapToGrid/>
              <w:spacing w:beforeLines="0" w:afterLines="0" w:line="320" w:lineRule="exact"/>
              <w:ind w:firstLine="0" w:firstLineChars="0"/>
              <w:jc w:val="both"/>
              <w:rPr>
                <w:rFonts w:hint="eastAsia" w:ascii="Times New Roman" w:hAnsi="Times New Roman" w:eastAsia="仿宋_GB2312"/>
                <w:b/>
                <w:sz w:val="21"/>
                <w:szCs w:val="21"/>
                <w:highlight w:val="none"/>
              </w:rPr>
            </w:pPr>
          </w:p>
        </w:tc>
        <w:tc>
          <w:tcPr>
            <w:tcW w:w="63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adjustRightInd/>
              <w:snapToGrid/>
              <w:spacing w:beforeLines="0" w:afterLines="0" w:line="320" w:lineRule="exact"/>
              <w:ind w:firstLine="0" w:firstLineChars="0"/>
              <w:jc w:val="both"/>
              <w:rPr>
                <w:rFonts w:hint="eastAsia" w:ascii="Times New Roman" w:hAnsi="Times New Roman" w:eastAsia="仿宋_GB2312"/>
                <w:b/>
                <w:sz w:val="21"/>
                <w:szCs w:val="21"/>
                <w:highlight w:val="none"/>
              </w:rPr>
            </w:pP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计算指标用地面积</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b/>
                <w:sz w:val="21"/>
                <w:szCs w:val="21"/>
                <w:highlight w:val="none"/>
              </w:rPr>
            </w:pPr>
            <w:r>
              <w:rPr>
                <w:rFonts w:hint="eastAsia" w:ascii="Times New Roman" w:hAnsi="Times New Roman" w:eastAsia="仿宋_GB2312"/>
                <w:b/>
                <w:sz w:val="21"/>
                <w:szCs w:val="21"/>
                <w:highlight w:val="none"/>
              </w:rPr>
              <w:t>宗地使用权面积</w:t>
            </w: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建筑密度</w:t>
            </w: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容积率</w:t>
            </w:r>
          </w:p>
        </w:tc>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320" w:lineRule="exact"/>
              <w:ind w:left="0" w:right="0" w:rightChars="0"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计容积率建筑面积</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绿地率</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b/>
                <w:sz w:val="21"/>
                <w:szCs w:val="21"/>
                <w:highlight w:val="none"/>
              </w:rPr>
            </w:pPr>
            <w:r>
              <w:rPr>
                <w:rFonts w:hint="eastAsia" w:ascii="Times New Roman" w:hAnsi="Times New Roman" w:eastAsia="仿宋_GB2312"/>
                <w:b/>
                <w:sz w:val="21"/>
                <w:szCs w:val="21"/>
                <w:highlight w:val="none"/>
              </w:rPr>
              <w:t>机动车停车位（个）</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适建性</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autoSpaceDE/>
              <w:autoSpaceDN/>
              <w:adjustRightInd/>
              <w:spacing w:beforeLines="0" w:afterLines="0" w:line="320" w:lineRule="exact"/>
              <w:ind w:firstLine="0" w:firstLineChars="0"/>
              <w:jc w:val="both"/>
              <w:rPr>
                <w:rFonts w:hint="eastAsia" w:ascii="Times New Roman" w:hAnsi="Times New Roman" w:eastAsia="仿宋_GB2312"/>
                <w:b/>
                <w:sz w:val="21"/>
                <w:szCs w:val="21"/>
                <w:highlight w:val="none"/>
              </w:rPr>
            </w:pPr>
            <w:r>
              <w:rPr>
                <w:rFonts w:hint="eastAsia" w:ascii="Times New Roman" w:hAnsi="Times New Roman" w:eastAsia="仿宋_GB2312"/>
                <w:b/>
                <w:sz w:val="21"/>
                <w:szCs w:val="21"/>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405"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spacing w:line="300" w:lineRule="exact"/>
              <w:jc w:val="both"/>
              <w:rPr>
                <w:rFonts w:hint="default" w:ascii="仿宋_GB2312" w:hAnsi="仿宋_GB2312" w:eastAsia="仿宋_GB2312" w:cs="仿宋_GB2312"/>
                <w:szCs w:val="21"/>
                <w:highlight w:val="none"/>
                <w:lang w:val="en-US" w:eastAsia="zh-CN"/>
              </w:rPr>
            </w:pPr>
            <w:bookmarkStart w:id="0" w:name="_GoBack"/>
            <w:bookmarkEnd w:id="0"/>
            <w:r>
              <w:rPr>
                <w:rFonts w:hint="eastAsia" w:ascii="仿宋_GB2312" w:hAnsi="仿宋_GB2312" w:eastAsia="仿宋_GB2312" w:cs="仿宋_GB2312"/>
                <w:szCs w:val="21"/>
                <w:highlight w:val="none"/>
                <w:lang w:val="en-US" w:eastAsia="zh-CN"/>
              </w:rPr>
              <w:t>G</w:t>
            </w:r>
            <w:r>
              <w:rPr>
                <w:rFonts w:hint="default" w:ascii="仿宋_GB2312" w:hAnsi="仿宋_GB2312" w:eastAsia="仿宋_GB2312" w:cs="仿宋_GB2312"/>
                <w:szCs w:val="21"/>
                <w:highlight w:val="none"/>
                <w:lang w:val="en-US" w:eastAsia="zh-CN"/>
              </w:rPr>
              <w:t>P2021-</w:t>
            </w:r>
            <w:r>
              <w:rPr>
                <w:rFonts w:hint="eastAsia" w:ascii="仿宋_GB2312" w:hAnsi="仿宋_GB2312" w:eastAsia="仿宋_GB2312" w:cs="仿宋_GB2312"/>
                <w:szCs w:val="21"/>
                <w:highlight w:val="none"/>
                <w:lang w:val="en-US" w:eastAsia="zh-CN"/>
              </w:rPr>
              <w:t>43</w:t>
            </w:r>
          </w:p>
        </w:tc>
        <w:tc>
          <w:tcPr>
            <w:tcW w:w="90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惠城区金龙大道东南片区 JBD54 地块</w:t>
            </w: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JBD54-05</w:t>
            </w:r>
          </w:p>
        </w:tc>
        <w:tc>
          <w:tcPr>
            <w:tcW w:w="631" w:type="dxa"/>
            <w:vMerge w:val="restart"/>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二类城镇住宅、商服用地</w:t>
            </w: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25788㎡</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18130.16㎡</w:t>
            </w: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≤22%</w:t>
            </w: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≤3.0</w:t>
            </w:r>
          </w:p>
        </w:tc>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≤77364㎡</w:t>
            </w:r>
          </w:p>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（其中商业建筑面积的比例≤5%，配套建筑面积＞195㎡）</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≥35%</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每100㎡计容积率建筑面积≥1个</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住宅、商业</w:t>
            </w:r>
          </w:p>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及配套设施</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城镇住宅用地70年、商服用地40年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405"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spacing w:line="300" w:lineRule="exact"/>
              <w:jc w:val="both"/>
              <w:rPr>
                <w:rFonts w:hint="default" w:ascii="仿宋_GB2312" w:hAnsi="仿宋_GB2312" w:eastAsia="仿宋_GB2312" w:cs="仿宋_GB2312"/>
                <w:szCs w:val="21"/>
                <w:highlight w:val="none"/>
                <w:lang w:val="en-US" w:eastAsia="zh-CN"/>
              </w:rPr>
            </w:pPr>
          </w:p>
        </w:tc>
        <w:tc>
          <w:tcPr>
            <w:tcW w:w="9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JBD54-06</w:t>
            </w:r>
          </w:p>
        </w:tc>
        <w:tc>
          <w:tcPr>
            <w:tcW w:w="631"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spacing w:line="300" w:lineRule="exact"/>
              <w:jc w:val="both"/>
              <w:rPr>
                <w:rFonts w:hint="eastAsia" w:ascii="仿宋_GB2312" w:hAnsi="仿宋_GB2312" w:eastAsia="仿宋_GB2312" w:cs="仿宋_GB2312"/>
                <w:szCs w:val="21"/>
                <w:highlight w:val="none"/>
                <w:lang w:val="en-US" w:eastAsia="zh-CN"/>
              </w:rPr>
            </w:pP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26789㎡</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20936.01㎡</w:t>
            </w: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≤22%</w:t>
            </w: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≤3.0</w:t>
            </w:r>
          </w:p>
        </w:tc>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≤80367㎡</w:t>
            </w:r>
          </w:p>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（其中商业建筑面积的比例≤5%，配套建筑面积＞745㎡）</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≥35%</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每100㎡计容积率建筑面积≥1个</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住宅、商业</w:t>
            </w:r>
          </w:p>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及配套设施</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城镇住宅用地70年、商服用地40年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405"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spacing w:line="300" w:lineRule="exact"/>
              <w:jc w:val="both"/>
              <w:rPr>
                <w:rFonts w:hint="default" w:ascii="仿宋_GB2312" w:hAnsi="仿宋_GB2312" w:eastAsia="仿宋_GB2312" w:cs="仿宋_GB2312"/>
                <w:szCs w:val="21"/>
                <w:highlight w:val="none"/>
                <w:lang w:val="en-US" w:eastAsia="zh-CN"/>
              </w:rPr>
            </w:pPr>
          </w:p>
        </w:tc>
        <w:tc>
          <w:tcPr>
            <w:tcW w:w="90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p>
        </w:tc>
        <w:tc>
          <w:tcPr>
            <w:tcW w:w="51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JBD54-07</w:t>
            </w:r>
          </w:p>
        </w:tc>
        <w:tc>
          <w:tcPr>
            <w:tcW w:w="631" w:type="dxa"/>
            <w:vMerge w:val="continue"/>
            <w:tcBorders>
              <w:top w:val="single" w:color="auto" w:sz="4" w:space="0"/>
              <w:left w:val="single" w:color="auto" w:sz="4" w:space="0"/>
              <w:bottom w:val="single" w:color="auto" w:sz="4" w:space="0"/>
              <w:right w:val="single" w:color="auto" w:sz="4" w:space="0"/>
              <w:tl2br w:val="nil"/>
              <w:tr2bl w:val="nil"/>
            </w:tcBorders>
            <w:tcMar>
              <w:left w:w="0" w:type="dxa"/>
              <w:right w:w="0" w:type="dxa"/>
            </w:tcMar>
            <w:vAlign w:val="center"/>
          </w:tcPr>
          <w:p>
            <w:pPr>
              <w:spacing w:line="300" w:lineRule="exact"/>
              <w:jc w:val="both"/>
              <w:rPr>
                <w:rFonts w:hint="eastAsia" w:ascii="仿宋_GB2312" w:hAnsi="仿宋_GB2312" w:eastAsia="仿宋_GB2312" w:cs="仿宋_GB2312"/>
                <w:szCs w:val="21"/>
                <w:highlight w:val="none"/>
                <w:lang w:val="en-US" w:eastAsia="zh-CN"/>
              </w:rPr>
            </w:pPr>
          </w:p>
        </w:tc>
        <w:tc>
          <w:tcPr>
            <w:tcW w:w="100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26673㎡</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19920.85㎡</w:t>
            </w:r>
          </w:p>
        </w:tc>
        <w:tc>
          <w:tcPr>
            <w:tcW w:w="877"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≤25%</w:t>
            </w:r>
          </w:p>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（其中住宅建设密度≤22%）</w:t>
            </w:r>
          </w:p>
        </w:tc>
        <w:tc>
          <w:tcPr>
            <w:tcW w:w="64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≤3.0</w:t>
            </w:r>
          </w:p>
        </w:tc>
        <w:tc>
          <w:tcPr>
            <w:tcW w:w="1088"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≤80019㎡</w:t>
            </w:r>
          </w:p>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（其中商业建筑面积的比例≤5%，配套建筑面积＞1395㎡）</w:t>
            </w:r>
          </w:p>
        </w:tc>
        <w:tc>
          <w:tcPr>
            <w:tcW w:w="76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≥35%</w:t>
            </w:r>
          </w:p>
        </w:tc>
        <w:tc>
          <w:tcPr>
            <w:tcW w:w="840"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每100㎡计容积率建筑面积≥1个</w:t>
            </w:r>
          </w:p>
        </w:tc>
        <w:tc>
          <w:tcPr>
            <w:tcW w:w="675"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住宅、商业</w:t>
            </w:r>
          </w:p>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及配套设施</w:t>
            </w:r>
          </w:p>
        </w:tc>
        <w:tc>
          <w:tcPr>
            <w:tcW w:w="1074" w:type="dxa"/>
            <w:tcBorders>
              <w:top w:val="single" w:color="auto" w:sz="4" w:space="0"/>
              <w:left w:val="single" w:color="auto" w:sz="4" w:space="0"/>
              <w:bottom w:val="single" w:color="auto" w:sz="4" w:space="0"/>
              <w:right w:val="single" w:color="auto" w:sz="4" w:space="0"/>
              <w:tl2br w:val="nil"/>
              <w:tr2bl w:val="nil"/>
            </w:tcBorders>
            <w:vAlign w:val="center"/>
          </w:tcPr>
          <w:p>
            <w:pPr>
              <w:spacing w:line="300" w:lineRule="exact"/>
              <w:jc w:val="both"/>
              <w:rPr>
                <w:rFonts w:hint="eastAsia"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城镇住宅用地70年、商服用地40年</w:t>
            </w:r>
          </w:p>
        </w:tc>
      </w:tr>
    </w:tbl>
    <w:p>
      <w:pPr>
        <w:tabs>
          <w:tab w:val="left" w:pos="9720"/>
        </w:tabs>
        <w:spacing w:line="360" w:lineRule="auto"/>
        <w:jc w:val="center"/>
        <w:rPr>
          <w:rFonts w:hint="default" w:ascii="Times New Roman" w:hAnsi="Times New Roman" w:eastAsia="方正小标宋_GBK" w:cs="Times New Roman"/>
          <w:b/>
          <w:sz w:val="36"/>
          <w:szCs w:val="36"/>
          <w:highlight w:val="none"/>
        </w:rPr>
      </w:pPr>
      <w:r>
        <w:rPr>
          <w:rFonts w:hint="default" w:ascii="Times New Roman" w:hAnsi="Times New Roman" w:eastAsia="方正小标宋_GBK" w:cs="Times New Roman"/>
          <w:b/>
          <w:sz w:val="36"/>
          <w:szCs w:val="36"/>
          <w:highlight w:val="none"/>
        </w:rPr>
        <w:t>网上挂牌出让地块规划建设指标</w:t>
      </w:r>
    </w:p>
    <w:p>
      <w:pPr>
        <w:tabs>
          <w:tab w:val="left" w:pos="11340"/>
        </w:tabs>
        <w:spacing w:line="600" w:lineRule="exact"/>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bidi w:val="0"/>
        <w:spacing w:line="560" w:lineRule="exact"/>
        <w:jc w:val="both"/>
        <w:textAlignment w:val="auto"/>
        <w:rPr>
          <w:rFonts w:hint="eastAsia" w:ascii="仿宋_GB2312" w:hAnsi="Times New Roman" w:eastAsia="仿宋_GB2312" w:cs="Times New Roman"/>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rFonts w:hint="eastAsia"/>
      </w:rPr>
    </w:pPr>
  </w:p>
  <w:p>
    <w:pPr>
      <w:pStyle w:val="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3043D1C"/>
    <w:rsid w:val="045C3FD8"/>
    <w:rsid w:val="046368B3"/>
    <w:rsid w:val="047C6F5A"/>
    <w:rsid w:val="069C76D6"/>
    <w:rsid w:val="07386886"/>
    <w:rsid w:val="07895069"/>
    <w:rsid w:val="082B1937"/>
    <w:rsid w:val="09B41FDD"/>
    <w:rsid w:val="09EF4B5F"/>
    <w:rsid w:val="0B78752F"/>
    <w:rsid w:val="0B7A084A"/>
    <w:rsid w:val="0D167AC3"/>
    <w:rsid w:val="0D430223"/>
    <w:rsid w:val="0D8622D4"/>
    <w:rsid w:val="0DF23899"/>
    <w:rsid w:val="0E177AE2"/>
    <w:rsid w:val="0E7A65F6"/>
    <w:rsid w:val="101D3BC2"/>
    <w:rsid w:val="10BD4DFA"/>
    <w:rsid w:val="112408DA"/>
    <w:rsid w:val="137618AF"/>
    <w:rsid w:val="13D50F1B"/>
    <w:rsid w:val="161D2710"/>
    <w:rsid w:val="167673A1"/>
    <w:rsid w:val="16AA6FD1"/>
    <w:rsid w:val="16D56AAC"/>
    <w:rsid w:val="172121EB"/>
    <w:rsid w:val="17AA0480"/>
    <w:rsid w:val="17D36568"/>
    <w:rsid w:val="17F82A54"/>
    <w:rsid w:val="188D227F"/>
    <w:rsid w:val="192F711A"/>
    <w:rsid w:val="1A0B2C56"/>
    <w:rsid w:val="1AA5305E"/>
    <w:rsid w:val="1ADB0E54"/>
    <w:rsid w:val="1C5904D7"/>
    <w:rsid w:val="1CD57BAD"/>
    <w:rsid w:val="1D7069CD"/>
    <w:rsid w:val="1DE30B94"/>
    <w:rsid w:val="1E862B6D"/>
    <w:rsid w:val="1E9C0AF4"/>
    <w:rsid w:val="1F7C2358"/>
    <w:rsid w:val="1FB07F91"/>
    <w:rsid w:val="20ED2229"/>
    <w:rsid w:val="210A61AB"/>
    <w:rsid w:val="217817B2"/>
    <w:rsid w:val="22890C8D"/>
    <w:rsid w:val="23A027B1"/>
    <w:rsid w:val="25251515"/>
    <w:rsid w:val="27A65DB8"/>
    <w:rsid w:val="28774868"/>
    <w:rsid w:val="28C60AA0"/>
    <w:rsid w:val="2A6B42FA"/>
    <w:rsid w:val="2A870225"/>
    <w:rsid w:val="2AAC048C"/>
    <w:rsid w:val="2B5D4967"/>
    <w:rsid w:val="2F020615"/>
    <w:rsid w:val="304C7078"/>
    <w:rsid w:val="31CE6D72"/>
    <w:rsid w:val="33861F14"/>
    <w:rsid w:val="33DD4339"/>
    <w:rsid w:val="35335FA2"/>
    <w:rsid w:val="36061489"/>
    <w:rsid w:val="36885460"/>
    <w:rsid w:val="372361B7"/>
    <w:rsid w:val="37607760"/>
    <w:rsid w:val="380440B7"/>
    <w:rsid w:val="381E07C6"/>
    <w:rsid w:val="38387384"/>
    <w:rsid w:val="38BD14D1"/>
    <w:rsid w:val="3C13026D"/>
    <w:rsid w:val="3C8078D7"/>
    <w:rsid w:val="3DDC60B5"/>
    <w:rsid w:val="3E5807DB"/>
    <w:rsid w:val="40231E47"/>
    <w:rsid w:val="40363F40"/>
    <w:rsid w:val="409256E4"/>
    <w:rsid w:val="409E7D83"/>
    <w:rsid w:val="40B33D72"/>
    <w:rsid w:val="411B39E1"/>
    <w:rsid w:val="414E681A"/>
    <w:rsid w:val="415730FC"/>
    <w:rsid w:val="42CE6157"/>
    <w:rsid w:val="4333178A"/>
    <w:rsid w:val="4368361A"/>
    <w:rsid w:val="43706132"/>
    <w:rsid w:val="44966F93"/>
    <w:rsid w:val="45C047BF"/>
    <w:rsid w:val="47AF3E70"/>
    <w:rsid w:val="48867140"/>
    <w:rsid w:val="4A1228DB"/>
    <w:rsid w:val="4A1B1ECC"/>
    <w:rsid w:val="4AE74DD0"/>
    <w:rsid w:val="4C2E14D5"/>
    <w:rsid w:val="4D1610A1"/>
    <w:rsid w:val="4DF35994"/>
    <w:rsid w:val="4EC91786"/>
    <w:rsid w:val="4F861E18"/>
    <w:rsid w:val="512A0AC6"/>
    <w:rsid w:val="515C1D58"/>
    <w:rsid w:val="538C505C"/>
    <w:rsid w:val="540106D5"/>
    <w:rsid w:val="546946EF"/>
    <w:rsid w:val="565101CA"/>
    <w:rsid w:val="567F481B"/>
    <w:rsid w:val="578E459E"/>
    <w:rsid w:val="57A3234F"/>
    <w:rsid w:val="57C844D5"/>
    <w:rsid w:val="57EA41E9"/>
    <w:rsid w:val="594D206E"/>
    <w:rsid w:val="596A13D8"/>
    <w:rsid w:val="59A567C1"/>
    <w:rsid w:val="5A893EB0"/>
    <w:rsid w:val="5AF873B7"/>
    <w:rsid w:val="5D241B5A"/>
    <w:rsid w:val="5D471E01"/>
    <w:rsid w:val="5E3B0440"/>
    <w:rsid w:val="606821F3"/>
    <w:rsid w:val="60AD2817"/>
    <w:rsid w:val="623F28DB"/>
    <w:rsid w:val="62EC12CA"/>
    <w:rsid w:val="63AA2C72"/>
    <w:rsid w:val="64D925C4"/>
    <w:rsid w:val="64E467ED"/>
    <w:rsid w:val="65651799"/>
    <w:rsid w:val="65854A4C"/>
    <w:rsid w:val="669A56E0"/>
    <w:rsid w:val="68527CA2"/>
    <w:rsid w:val="692A6240"/>
    <w:rsid w:val="6B6E278B"/>
    <w:rsid w:val="6BE509C5"/>
    <w:rsid w:val="6C72571A"/>
    <w:rsid w:val="6E0C0E77"/>
    <w:rsid w:val="6EB83079"/>
    <w:rsid w:val="6EC11C99"/>
    <w:rsid w:val="6ED476F5"/>
    <w:rsid w:val="6F3F769A"/>
    <w:rsid w:val="6F4B3B48"/>
    <w:rsid w:val="6FF0551C"/>
    <w:rsid w:val="700A52E4"/>
    <w:rsid w:val="700B25B1"/>
    <w:rsid w:val="727D44B4"/>
    <w:rsid w:val="728D40FC"/>
    <w:rsid w:val="7291218D"/>
    <w:rsid w:val="736D1677"/>
    <w:rsid w:val="73BE7EBD"/>
    <w:rsid w:val="73F22758"/>
    <w:rsid w:val="748840AA"/>
    <w:rsid w:val="74E0257C"/>
    <w:rsid w:val="761352C3"/>
    <w:rsid w:val="765425FB"/>
    <w:rsid w:val="77DD303C"/>
    <w:rsid w:val="782A0826"/>
    <w:rsid w:val="787C1591"/>
    <w:rsid w:val="79E82C45"/>
    <w:rsid w:val="7AD36021"/>
    <w:rsid w:val="7B832F79"/>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Indent"/>
    <w:basedOn w:val="1"/>
    <w:qFormat/>
    <w:uiPriority w:val="0"/>
    <w:pPr>
      <w:spacing w:line="360" w:lineRule="auto"/>
      <w:ind w:firstLine="420"/>
    </w:pPr>
    <w:rPr>
      <w:sz w:val="28"/>
      <w:szCs w:val="20"/>
    </w:r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袁秀玲</cp:lastModifiedBy>
  <cp:lastPrinted>2021-10-25T08:53:00Z</cp:lastPrinted>
  <dcterms:modified xsi:type="dcterms:W3CDTF">2021-10-26T01:40:36Z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