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highlight w:val="none"/>
        </w:rPr>
      </w:pPr>
      <w:bookmarkStart w:id="0" w:name="_GoBack"/>
      <w:r>
        <w:rPr>
          <w:rFonts w:hint="eastAsia" w:ascii="方正小标宋简体" w:hAnsi="方正小标宋简体" w:eastAsia="方正小标宋简体" w:cs="方正小标宋简体"/>
          <w:color w:val="auto"/>
          <w:sz w:val="44"/>
          <w:szCs w:val="44"/>
          <w:highlight w:val="none"/>
        </w:rPr>
        <w:t>惠州</w:t>
      </w:r>
      <w:r>
        <w:rPr>
          <w:rFonts w:hint="eastAsia" w:ascii="方正小标宋简体" w:hAnsi="方正小标宋简体" w:eastAsia="方正小标宋简体" w:cs="方正小标宋简体"/>
          <w:color w:val="auto"/>
          <w:sz w:val="44"/>
          <w:szCs w:val="44"/>
          <w:highlight w:val="none"/>
          <w:lang w:val="en-US" w:eastAsia="zh-CN"/>
        </w:rPr>
        <w:t>大亚湾区</w:t>
      </w:r>
      <w:r>
        <w:rPr>
          <w:rFonts w:hint="eastAsia" w:ascii="方正小标宋简体" w:hAnsi="方正小标宋简体" w:eastAsia="方正小标宋简体" w:cs="方正小标宋简体"/>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网上挂牌出让竞买须知</w:t>
      </w:r>
    </w:p>
    <w:p>
      <w:pPr>
        <w:pStyle w:val="4"/>
        <w:keepNext w:val="0"/>
        <w:keepLines w:val="0"/>
        <w:widowControl/>
        <w:suppressLineNumbers w:val="0"/>
        <w:ind w:left="0" w:firstLine="645"/>
        <w:jc w:val="center"/>
        <w:rPr>
          <w:rFonts w:hint="eastAsia" w:ascii="宋体" w:hAnsi="宋体" w:eastAsia="宋体" w:cs="宋体"/>
          <w:color w:val="auto"/>
          <w:sz w:val="31"/>
          <w:szCs w:val="31"/>
        </w:rPr>
      </w:pPr>
      <w:r>
        <w:rPr>
          <w:rFonts w:hint="eastAsia" w:ascii="宋体" w:hAnsi="宋体" w:eastAsia="宋体" w:cs="宋体"/>
          <w:color w:val="auto"/>
          <w:sz w:val="31"/>
          <w:szCs w:val="31"/>
        </w:rPr>
        <w:t>惠公易土大亚湾（知）[202</w:t>
      </w:r>
      <w:r>
        <w:rPr>
          <w:rFonts w:hint="eastAsia" w:ascii="宋体" w:hAnsi="宋体" w:eastAsia="宋体" w:cs="宋体"/>
          <w:color w:val="auto"/>
          <w:sz w:val="31"/>
          <w:szCs w:val="31"/>
          <w:lang w:val="en-US" w:eastAsia="zh-CN"/>
        </w:rPr>
        <w:t>4</w:t>
      </w:r>
      <w:r>
        <w:rPr>
          <w:rFonts w:hint="eastAsia" w:ascii="宋体" w:hAnsi="宋体" w:eastAsia="宋体" w:cs="宋体"/>
          <w:color w:val="auto"/>
          <w:sz w:val="31"/>
          <w:szCs w:val="31"/>
        </w:rPr>
        <w:t>]</w:t>
      </w:r>
      <w:r>
        <w:rPr>
          <w:rFonts w:hint="eastAsia" w:ascii="宋体" w:hAnsi="宋体" w:eastAsia="宋体" w:cs="宋体"/>
          <w:color w:val="auto"/>
          <w:sz w:val="31"/>
          <w:szCs w:val="31"/>
          <w:lang w:val="en-US" w:eastAsia="zh-CN"/>
        </w:rPr>
        <w:t>015</w:t>
      </w:r>
      <w:r>
        <w:rPr>
          <w:rFonts w:hint="eastAsia" w:ascii="宋体" w:hAnsi="宋体" w:eastAsia="宋体" w:cs="宋体"/>
          <w:color w:val="auto"/>
          <w:sz w:val="31"/>
          <w:szCs w:val="31"/>
        </w:rPr>
        <w:t>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三、中华人民共和国境内外的法人和其他组织（除法律法规另有规定外），符合竞买资格的，均可通过</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，申请参加电子挂牌交易活动。</w:t>
      </w:r>
    </w:p>
    <w:p>
      <w:pPr>
        <w:pStyle w:val="4"/>
        <w:keepNext w:val="0"/>
        <w:keepLines w:val="0"/>
        <w:widowControl/>
        <w:suppressLineNumbers w:val="0"/>
        <w:ind w:left="0" w:firstLine="645"/>
        <w:rPr>
          <w:rFonts w:hint="eastAsia" w:ascii="仿宋" w:hAnsi="仿宋" w:eastAsia="仿宋" w:cs="仿宋"/>
          <w:color w:val="auto"/>
          <w:sz w:val="32"/>
          <w:szCs w:val="32"/>
        </w:rPr>
      </w:pPr>
      <w:r>
        <w:rPr>
          <w:rFonts w:hint="eastAsia" w:ascii="仿宋" w:hAnsi="仿宋" w:eastAsia="仿宋" w:cs="仿宋"/>
          <w:color w:val="auto"/>
          <w:sz w:val="32"/>
          <w:szCs w:val="32"/>
        </w:rPr>
        <w:t>惠州</w:t>
      </w:r>
      <w:r>
        <w:rPr>
          <w:rFonts w:hint="eastAsia" w:ascii="仿宋" w:hAnsi="仿宋" w:eastAsia="仿宋" w:cs="仿宋"/>
          <w:color w:val="auto"/>
          <w:sz w:val="32"/>
          <w:szCs w:val="32"/>
          <w:lang w:val="en-US" w:eastAsia="zh-CN"/>
        </w:rPr>
        <w:t>大亚湾区</w:t>
      </w:r>
      <w:r>
        <w:rPr>
          <w:rFonts w:hint="eastAsia" w:ascii="仿宋" w:hAnsi="仿宋" w:eastAsia="仿宋" w:cs="仿宋"/>
          <w:color w:val="auto"/>
          <w:sz w:val="32"/>
          <w:szCs w:val="32"/>
        </w:rPr>
        <w:t>国有建设用地使用权网上挂牌出让公告</w:t>
      </w:r>
      <w:r>
        <w:rPr>
          <w:rFonts w:hint="eastAsia" w:ascii="仿宋" w:hAnsi="仿宋" w:eastAsia="仿宋" w:cs="仿宋"/>
          <w:color w:val="auto"/>
          <w:sz w:val="32"/>
          <w:szCs w:val="32"/>
        </w:rPr>
        <w:t>（以下简称“挂牌出让公告”）对竞买资格有特别要求的，以挂牌出让公告为准。</w:t>
      </w:r>
    </w:p>
    <w:p>
      <w:pPr>
        <w:pStyle w:val="4"/>
        <w:keepNext w:val="0"/>
        <w:keepLines w:val="0"/>
        <w:widowControl/>
        <w:numPr>
          <w:ilvl w:val="0"/>
          <w:numId w:val="0"/>
        </w:numPr>
        <w:suppressLineNumbers w:val="0"/>
        <w:ind w:right="0" w:righ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四、申请人对网上挂牌出让文件有疑问的，可在网上挂牌活动开始前以书面或者口头方式向惠州市公共资源交易中心</w:t>
      </w:r>
      <w:r>
        <w:rPr>
          <w:rFonts w:hint="eastAsia" w:ascii="仿宋" w:hAnsi="仿宋" w:eastAsia="仿宋" w:cs="仿宋"/>
          <w:color w:val="auto"/>
          <w:sz w:val="32"/>
          <w:szCs w:val="32"/>
          <w:lang w:val="en-US" w:eastAsia="zh-CN"/>
        </w:rPr>
        <w:t>大亚湾分中心</w:t>
      </w:r>
      <w:r>
        <w:rPr>
          <w:rFonts w:hint="eastAsia" w:ascii="仿宋" w:hAnsi="仿宋" w:eastAsia="仿宋" w:cs="仿宋"/>
          <w:color w:val="auto"/>
          <w:sz w:val="32"/>
          <w:szCs w:val="32"/>
        </w:rPr>
        <w:t>（以下简称“交易中心”）咨询。有意竞买者可自行踏勘现场（可在</w:t>
      </w:r>
      <w:r>
        <w:rPr>
          <w:rFonts w:hint="eastAsia" w:ascii="仿宋" w:hAnsi="仿宋" w:eastAsia="仿宋" w:cs="仿宋"/>
          <w:color w:val="auto"/>
          <w:sz w:val="32"/>
          <w:szCs w:val="32"/>
          <w:lang w:eastAsia="zh-CN"/>
        </w:rPr>
        <w:t>电子交易系统</w:t>
      </w:r>
      <w:r>
        <w:rPr>
          <w:rFonts w:hint="eastAsia" w:ascii="仿宋" w:hAnsi="仿宋" w:eastAsia="仿宋" w:cs="仿宋"/>
          <w:color w:val="auto"/>
          <w:sz w:val="32"/>
          <w:szCs w:val="32"/>
        </w:rPr>
        <w:t>查阅位置图和现状图）。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五、网上挂牌交易程序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（一）发布网上挂牌信息</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有关宗地的电子挂牌出让公告等相关信息通过交易大厅的电子显示屏、中国土地市场网、广东省公共资源交易平台和</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等媒介同步发布。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有意竞买者可登录</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网站(</w:t>
      </w:r>
      <w:r>
        <w:rPr>
          <w:rFonts w:hint="eastAsia" w:ascii="仿宋" w:hAnsi="仿宋" w:eastAsia="仿宋" w:cs="仿宋"/>
          <w:color w:val="auto"/>
          <w:sz w:val="32"/>
          <w:szCs w:val="32"/>
          <w:highlight w:val="none"/>
          <w:lang w:eastAsia="zh-CN"/>
        </w:rPr>
        <w:t>https://tdky.hzggzyjy.cn/</w:t>
      </w:r>
      <w:r>
        <w:rPr>
          <w:rFonts w:hint="eastAsia" w:ascii="仿宋" w:hAnsi="仿宋" w:eastAsia="仿宋" w:cs="仿宋"/>
          <w:color w:val="auto"/>
          <w:sz w:val="32"/>
          <w:szCs w:val="32"/>
          <w:highlight w:val="none"/>
        </w:rPr>
        <w:t>)查询。</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（二）挂牌文件获取</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申请人可在</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rPr>
        <w:t>、惠州</w:t>
      </w:r>
      <w:r>
        <w:rPr>
          <w:rFonts w:hint="eastAsia" w:ascii="仿宋" w:hAnsi="仿宋" w:eastAsia="仿宋" w:cs="仿宋"/>
          <w:color w:val="auto"/>
          <w:sz w:val="32"/>
          <w:szCs w:val="32"/>
          <w:highlight w:val="none"/>
          <w:lang w:val="en-US" w:eastAsia="zh-CN"/>
        </w:rPr>
        <w:t>大亚湾区</w:t>
      </w:r>
      <w:r>
        <w:rPr>
          <w:rFonts w:hint="eastAsia" w:ascii="仿宋" w:hAnsi="仿宋" w:eastAsia="仿宋" w:cs="仿宋"/>
          <w:color w:val="auto"/>
          <w:sz w:val="32"/>
          <w:szCs w:val="32"/>
          <w:highlight w:val="none"/>
        </w:rPr>
        <w:t>国有建设用地使用权网上挂牌出让公告；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rPr>
        <w:t>、惠州</w:t>
      </w:r>
      <w:r>
        <w:rPr>
          <w:rFonts w:hint="eastAsia" w:ascii="仿宋" w:hAnsi="仿宋" w:eastAsia="仿宋" w:cs="仿宋"/>
          <w:color w:val="auto"/>
          <w:sz w:val="32"/>
          <w:szCs w:val="32"/>
          <w:highlight w:val="none"/>
          <w:lang w:val="en-US" w:eastAsia="zh-CN"/>
        </w:rPr>
        <w:t>大亚湾区</w:t>
      </w:r>
      <w:r>
        <w:rPr>
          <w:rFonts w:hint="eastAsia" w:ascii="仿宋" w:hAnsi="仿宋" w:eastAsia="仿宋" w:cs="仿宋"/>
          <w:color w:val="auto"/>
          <w:sz w:val="32"/>
          <w:szCs w:val="32"/>
          <w:highlight w:val="none"/>
        </w:rPr>
        <w:t>国有建设用地使用权网上挂牌出让竞买须知；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3</w:t>
      </w:r>
      <w:r>
        <w:rPr>
          <w:rFonts w:hint="eastAsia" w:ascii="仿宋" w:hAnsi="仿宋" w:eastAsia="仿宋" w:cs="仿宋"/>
          <w:color w:val="auto"/>
          <w:sz w:val="32"/>
          <w:szCs w:val="32"/>
          <w:highlight w:val="none"/>
        </w:rPr>
        <w:t>、挂牌出让地块现状图；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4</w:t>
      </w:r>
      <w:r>
        <w:rPr>
          <w:rFonts w:hint="eastAsia" w:ascii="仿宋" w:hAnsi="仿宋" w:eastAsia="仿宋" w:cs="仿宋"/>
          <w:color w:val="auto"/>
          <w:sz w:val="32"/>
          <w:szCs w:val="32"/>
          <w:highlight w:val="none"/>
        </w:rPr>
        <w:t>、建设用地红线界限图；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、规划设计条件告知书；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6</w:t>
      </w:r>
      <w:r>
        <w:rPr>
          <w:rFonts w:hint="eastAsia" w:ascii="仿宋" w:hAnsi="仿宋" w:eastAsia="仿宋" w:cs="仿宋"/>
          <w:color w:val="auto"/>
          <w:sz w:val="32"/>
          <w:szCs w:val="32"/>
          <w:highlight w:val="none"/>
        </w:rPr>
        <w:t>、国有建设用地使用权网上挂牌成交确认书（样本）；</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7</w:t>
      </w:r>
      <w:r>
        <w:rPr>
          <w:rFonts w:hint="eastAsia" w:ascii="仿宋" w:hAnsi="仿宋" w:eastAsia="仿宋" w:cs="仿宋"/>
          <w:color w:val="auto"/>
          <w:sz w:val="32"/>
          <w:szCs w:val="32"/>
          <w:highlight w:val="none"/>
        </w:rPr>
        <w:t>、国有建设用地使用权出让合同（样本）；</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8</w:t>
      </w:r>
      <w:r>
        <w:rPr>
          <w:rFonts w:hint="eastAsia" w:ascii="仿宋" w:hAnsi="仿宋" w:eastAsia="仿宋" w:cs="仿宋"/>
          <w:color w:val="auto"/>
          <w:sz w:val="32"/>
          <w:szCs w:val="32"/>
          <w:highlight w:val="none"/>
        </w:rPr>
        <w:t>、其他相关文件。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（三）办理数字证书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rPr>
        <w:t>、本宗国有建设用地使用权网上挂牌出让只能在互联网上，通过</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进行。只有通过网上注册、办理数字证书、按要求足额交付竞买保证金的申请人，才能参加</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 xml:space="preserve">活动。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rPr>
        <w:t>、办理数字证书是参加本宗地网上挂牌出让活动的必经程序，申请人应当携带相关有效证件到广东省数字证书认证中心惠州办理点（地址：广东省惠州市惠城区三新北路</w:t>
      </w:r>
      <w:r>
        <w:rPr>
          <w:rFonts w:hint="default" w:ascii="仿宋" w:hAnsi="仿宋" w:eastAsia="仿宋" w:cs="仿宋"/>
          <w:color w:val="auto"/>
          <w:sz w:val="32"/>
          <w:szCs w:val="32"/>
          <w:highlight w:val="none"/>
        </w:rPr>
        <w:t>31</w:t>
      </w:r>
      <w:r>
        <w:rPr>
          <w:rFonts w:hint="eastAsia" w:ascii="仿宋" w:hAnsi="仿宋" w:eastAsia="仿宋" w:cs="仿宋"/>
          <w:color w:val="auto"/>
          <w:sz w:val="32"/>
          <w:szCs w:val="32"/>
          <w:highlight w:val="none"/>
        </w:rPr>
        <w:t>号市民服务中心</w:t>
      </w:r>
      <w:r>
        <w:rPr>
          <w:rFonts w:hint="default" w:ascii="仿宋" w:hAnsi="仿宋" w:eastAsia="仿宋" w:cs="仿宋"/>
          <w:color w:val="auto"/>
          <w:sz w:val="32"/>
          <w:szCs w:val="32"/>
          <w:highlight w:val="none"/>
        </w:rPr>
        <w:t>3</w:t>
      </w:r>
      <w:r>
        <w:rPr>
          <w:rFonts w:hint="eastAsia" w:ascii="仿宋" w:hAnsi="仿宋" w:eastAsia="仿宋" w:cs="仿宋"/>
          <w:color w:val="auto"/>
          <w:sz w:val="32"/>
          <w:szCs w:val="32"/>
          <w:highlight w:val="none"/>
        </w:rPr>
        <w:t>号楼惠州市公共资源交易中心一楼大厅</w:t>
      </w: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rPr>
        <w:t>号土地与矿业交易窗口，电话：</w:t>
      </w:r>
      <w:r>
        <w:rPr>
          <w:rFonts w:hint="default" w:ascii="仿宋" w:hAnsi="仿宋" w:eastAsia="仿宋" w:cs="仿宋"/>
          <w:color w:val="auto"/>
          <w:sz w:val="32"/>
          <w:szCs w:val="32"/>
          <w:highlight w:val="none"/>
        </w:rPr>
        <w:t>0752-7121029</w:t>
      </w:r>
      <w:r>
        <w:rPr>
          <w:rFonts w:hint="eastAsia" w:ascii="仿宋" w:hAnsi="仿宋" w:eastAsia="仿宋" w:cs="仿宋"/>
          <w:color w:val="auto"/>
          <w:sz w:val="32"/>
          <w:szCs w:val="32"/>
          <w:highlight w:val="none"/>
        </w:rPr>
        <w:t>）申请办理。数字证书的办理流程详见</w:t>
      </w:r>
      <w:r>
        <w:rPr>
          <w:rFonts w:hint="eastAsia" w:ascii="仿宋" w:hAnsi="仿宋" w:eastAsia="仿宋" w:cs="仿宋"/>
          <w:color w:val="auto"/>
          <w:sz w:val="32"/>
          <w:szCs w:val="32"/>
          <w:highlight w:val="none"/>
          <w:lang w:eastAsia="zh-CN"/>
        </w:rPr>
        <w:t>电子交易</w:t>
      </w:r>
      <w:r>
        <w:rPr>
          <w:rFonts w:hint="eastAsia" w:ascii="仿宋" w:hAnsi="仿宋" w:eastAsia="仿宋" w:cs="仿宋"/>
          <w:color w:val="auto"/>
          <w:sz w:val="32"/>
          <w:szCs w:val="32"/>
          <w:highlight w:val="none"/>
        </w:rPr>
        <w:t>系统上的《数字证书办理指南》。</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（四）申请竞买</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办理好数字证书的申请人决定参加本宗地网上挂牌竞买的，应按</w:t>
      </w:r>
      <w:r>
        <w:rPr>
          <w:rFonts w:hint="eastAsia" w:ascii="仿宋" w:hAnsi="仿宋" w:eastAsia="仿宋" w:cs="仿宋"/>
          <w:color w:val="auto"/>
          <w:sz w:val="32"/>
          <w:szCs w:val="32"/>
          <w:highlight w:val="none"/>
          <w:lang w:eastAsia="zh-CN"/>
        </w:rPr>
        <w:t>电子交易</w:t>
      </w:r>
      <w:r>
        <w:rPr>
          <w:rFonts w:hint="eastAsia" w:ascii="仿宋" w:hAnsi="仿宋" w:eastAsia="仿宋" w:cs="仿宋"/>
          <w:color w:val="auto"/>
          <w:sz w:val="32"/>
          <w:szCs w:val="32"/>
          <w:highlight w:val="none"/>
        </w:rPr>
        <w:t>系统要求填写真实有效的申请人身份等信息并在</w:t>
      </w:r>
      <w:r>
        <w:rPr>
          <w:rFonts w:hint="eastAsia" w:ascii="仿宋" w:hAnsi="仿宋" w:eastAsia="仿宋" w:cs="仿宋"/>
          <w:color w:val="auto"/>
          <w:sz w:val="32"/>
          <w:szCs w:val="32"/>
          <w:highlight w:val="none"/>
          <w:lang w:eastAsia="zh-CN"/>
        </w:rPr>
        <w:t>电子交易</w:t>
      </w:r>
      <w:r>
        <w:rPr>
          <w:rFonts w:hint="eastAsia" w:ascii="仿宋" w:hAnsi="仿宋" w:eastAsia="仿宋" w:cs="仿宋"/>
          <w:color w:val="auto"/>
          <w:sz w:val="32"/>
          <w:szCs w:val="32"/>
          <w:highlight w:val="none"/>
        </w:rPr>
        <w:t>系统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竞买保证金是申请人参加</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活动的资格条件。按规定将竞买保证金汇入指定账户，是参加</w:t>
      </w:r>
      <w:r>
        <w:rPr>
          <w:rFonts w:hint="eastAsia" w:ascii="仿宋" w:hAnsi="仿宋" w:eastAsia="仿宋" w:cs="仿宋"/>
          <w:color w:val="auto"/>
          <w:sz w:val="32"/>
          <w:szCs w:val="32"/>
          <w:highlight w:val="none"/>
          <w:lang w:val="en-US" w:eastAsia="zh-CN"/>
        </w:rPr>
        <w:t>网上挂牌交易</w:t>
      </w:r>
      <w:r>
        <w:rPr>
          <w:rFonts w:hint="eastAsia" w:ascii="仿宋" w:hAnsi="仿宋" w:eastAsia="仿宋" w:cs="仿宋"/>
          <w:color w:val="auto"/>
          <w:sz w:val="32"/>
          <w:szCs w:val="32"/>
          <w:highlight w:val="none"/>
        </w:rPr>
        <w:t>活动的必经程序。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竞买人应当提前交纳竞买保证金以确保在到账截止时间前到账，超过到账截止时间的保证金，</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3</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跨地区或跨行转账的竞买人，需预足资金的在途时间，以免影响竞买人及时取得竞买报价权限。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4</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竞买保证金到账时间以</w:t>
      </w:r>
      <w:r>
        <w:rPr>
          <w:rFonts w:hint="eastAsia" w:ascii="仿宋" w:hAnsi="仿宋" w:eastAsia="仿宋" w:cs="仿宋"/>
          <w:color w:val="auto"/>
          <w:sz w:val="32"/>
          <w:szCs w:val="32"/>
          <w:highlight w:val="none"/>
          <w:lang w:eastAsia="zh-CN"/>
        </w:rPr>
        <w:t>电子交易</w:t>
      </w:r>
      <w:r>
        <w:rPr>
          <w:rFonts w:hint="eastAsia" w:ascii="仿宋" w:hAnsi="仿宋" w:eastAsia="仿宋" w:cs="仿宋"/>
          <w:color w:val="auto"/>
          <w:sz w:val="32"/>
          <w:szCs w:val="32"/>
          <w:highlight w:val="none"/>
        </w:rPr>
        <w:t>系统确认并发出《竞买保证金到账通知书》为准。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5</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竞买保证金开户单位：惠州市公共资源交易中心</w:t>
      </w:r>
      <w:r>
        <w:rPr>
          <w:rFonts w:hint="eastAsia" w:ascii="仿宋" w:hAnsi="仿宋" w:eastAsia="仿宋" w:cs="仿宋"/>
          <w:color w:val="auto"/>
          <w:sz w:val="32"/>
          <w:szCs w:val="32"/>
          <w:highlight w:val="none"/>
          <w:lang w:val="en-US" w:eastAsia="zh-CN"/>
        </w:rPr>
        <w:t>大亚湾分中心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竞买保证金账号：</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随机产生竞买保证金支付账号。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开户银行：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（1）中国银行惠州大亚湾支行；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（2）中国工商银行惠州大亚湾支行；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（3）中国农业银行惠州大亚湾支行；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（4）惠州农商银行大亚湾支行；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（5）中国建设银行股份有限公司惠州大亚湾支行；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（6）交通银行惠州大亚湾支行；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（7）珠海华润银行股份有限公司惠州大亚湾支行</w:t>
      </w:r>
      <w:r>
        <w:rPr>
          <w:rFonts w:hint="eastAsia" w:ascii="仿宋" w:hAnsi="仿宋" w:eastAsia="仿宋" w:cs="仿宋"/>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兴业银行股份有限公司惠州分行。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申请人应根据</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生成的随机保证金账号按时足额交纳竞买保证金，并在</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确认竞买保证金到账之后，赋予竞买人对应宗地的竞买报价权限。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竞买人通过</w:t>
      </w:r>
      <w:r>
        <w:rPr>
          <w:rFonts w:hint="eastAsia" w:ascii="仿宋" w:hAnsi="仿宋" w:eastAsia="仿宋" w:cs="仿宋"/>
          <w:color w:val="auto"/>
          <w:sz w:val="32"/>
          <w:szCs w:val="32"/>
          <w:highlight w:val="none"/>
          <w:lang w:eastAsia="zh-CN"/>
        </w:rPr>
        <w:t>电子交易</w:t>
      </w:r>
      <w:r>
        <w:rPr>
          <w:rFonts w:hint="eastAsia" w:ascii="仿宋" w:hAnsi="仿宋" w:eastAsia="仿宋" w:cs="仿宋"/>
          <w:color w:val="auto"/>
          <w:sz w:val="32"/>
          <w:szCs w:val="32"/>
          <w:highlight w:val="none"/>
        </w:rPr>
        <w:t>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rPr>
        <w:t>）增价方式进行报价；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rPr>
        <w:t>）竞买人可多次报价；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default" w:ascii="仿宋" w:hAnsi="仿宋" w:eastAsia="仿宋" w:cs="仿宋"/>
          <w:color w:val="auto"/>
          <w:sz w:val="32"/>
          <w:szCs w:val="32"/>
          <w:highlight w:val="none"/>
        </w:rPr>
        <w:t>3</w:t>
      </w:r>
      <w:r>
        <w:rPr>
          <w:rFonts w:hint="eastAsia" w:ascii="仿宋" w:hAnsi="仿宋" w:eastAsia="仿宋" w:cs="仿宋"/>
          <w:color w:val="auto"/>
          <w:sz w:val="32"/>
          <w:szCs w:val="32"/>
          <w:highlight w:val="none"/>
        </w:rPr>
        <w:t>）初次报价不得低于起始价；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default" w:ascii="仿宋" w:hAnsi="仿宋" w:eastAsia="仿宋" w:cs="仿宋"/>
          <w:color w:val="auto"/>
          <w:sz w:val="32"/>
          <w:szCs w:val="32"/>
          <w:highlight w:val="none"/>
        </w:rPr>
        <w:t>4</w:t>
      </w:r>
      <w:r>
        <w:rPr>
          <w:rFonts w:hint="eastAsia" w:ascii="仿宋" w:hAnsi="仿宋" w:eastAsia="仿宋" w:cs="仿宋"/>
          <w:color w:val="auto"/>
          <w:sz w:val="32"/>
          <w:szCs w:val="32"/>
          <w:highlight w:val="none"/>
        </w:rPr>
        <w:t>）每次增价数额应是规定的增价幅度的整数倍；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）每次报价应当比当前最高报价至少递增</w:t>
      </w: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rPr>
        <w:t>个增价幅度。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竞买人应当谨慎报价，报价一经提交并经</w:t>
      </w:r>
      <w:r>
        <w:rPr>
          <w:rFonts w:hint="eastAsia" w:ascii="仿宋" w:hAnsi="仿宋" w:eastAsia="仿宋" w:cs="仿宋"/>
          <w:color w:val="auto"/>
          <w:sz w:val="32"/>
          <w:szCs w:val="32"/>
          <w:highlight w:val="none"/>
          <w:lang w:eastAsia="zh-CN"/>
        </w:rPr>
        <w:t>电子交易系</w:t>
      </w:r>
      <w:r>
        <w:rPr>
          <w:rFonts w:hint="eastAsia" w:ascii="仿宋" w:hAnsi="仿宋" w:eastAsia="仿宋" w:cs="仿宋"/>
          <w:color w:val="auto"/>
          <w:sz w:val="32"/>
          <w:szCs w:val="32"/>
          <w:highlight w:val="none"/>
        </w:rPr>
        <w:t>系统确认为有效报价，不可撤回。</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3</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电子限时竞价是指在挂牌出让公告规定的电子挂牌交易期限截止时，有</w:t>
      </w: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rPr>
        <w:t>个以上的竞买人报价，且经</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询问，</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分钟内限时决定是否愿意继续报价</w:t>
      </w:r>
      <w:r>
        <w:rPr>
          <w:rFonts w:hint="default" w:ascii="仿宋" w:hAnsi="仿宋" w:eastAsia="仿宋" w:cs="仿宋"/>
          <w:color w:val="auto"/>
          <w:sz w:val="32"/>
          <w:szCs w:val="32"/>
          <w:highlight w:val="none"/>
        </w:rPr>
        <w:t>,</w:t>
      </w:r>
      <w:r>
        <w:rPr>
          <w:rFonts w:hint="eastAsia" w:ascii="仿宋" w:hAnsi="仿宋" w:eastAsia="仿宋" w:cs="仿宋"/>
          <w:color w:val="auto"/>
          <w:sz w:val="32"/>
          <w:szCs w:val="32"/>
          <w:highlight w:val="none"/>
        </w:rPr>
        <w:t>有竞买人愿意继续报价的，</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以高于当前最高报价一个增价幅度的价格为起始价，</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开始第一次</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分钟倒计时限时报价，如在</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分钟内的任一时点有新的有效报价，</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即从此时点起重新计算</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分钟的限时报价时间，供竞买人作新一轮报价，并按此方式不断顺延下去</w:t>
      </w:r>
      <w:r>
        <w:rPr>
          <w:rFonts w:hint="default" w:ascii="仿宋" w:hAnsi="仿宋" w:eastAsia="仿宋" w:cs="仿宋"/>
          <w:color w:val="auto"/>
          <w:sz w:val="32"/>
          <w:szCs w:val="32"/>
          <w:highlight w:val="none"/>
        </w:rPr>
        <w:t>,</w:t>
      </w:r>
      <w:r>
        <w:rPr>
          <w:rFonts w:hint="eastAsia" w:ascii="仿宋" w:hAnsi="仿宋" w:eastAsia="仿宋" w:cs="仿宋"/>
          <w:color w:val="auto"/>
          <w:sz w:val="32"/>
          <w:szCs w:val="32"/>
          <w:highlight w:val="none"/>
        </w:rPr>
        <w:t>直至</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分钟限时报价时间内没有新的有效报价，</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将自动关闭报价通道，确认当前最高报价为最终报价，</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即时显示电子挂牌竞价结果。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4</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竞买人应当在电子挂牌交易期限截止前登录</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，密切关注交易动态。竞买人应当在电子挂牌交易时限截止后</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分钟内做出是否参加电子限时竞价的决定并提交</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，超过</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分钟未提交的，</w:t>
      </w:r>
      <w:r>
        <w:rPr>
          <w:rFonts w:hint="eastAsia" w:ascii="仿宋" w:hAnsi="仿宋" w:eastAsia="仿宋" w:cs="仿宋"/>
          <w:color w:val="auto"/>
          <w:sz w:val="32"/>
          <w:szCs w:val="32"/>
          <w:highlight w:val="none"/>
          <w:lang w:eastAsia="zh-CN"/>
        </w:rPr>
        <w:t>电子交易</w:t>
      </w:r>
      <w:r>
        <w:rPr>
          <w:rFonts w:hint="eastAsia" w:ascii="仿宋" w:hAnsi="仿宋" w:eastAsia="仿宋" w:cs="仿宋"/>
          <w:color w:val="auto"/>
          <w:sz w:val="32"/>
          <w:szCs w:val="32"/>
          <w:highlight w:val="none"/>
        </w:rPr>
        <w:t>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（七）确定成交候选人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在电子挂牌交易期限内只有</w:t>
      </w: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rPr>
        <w:t>个竞买人报价，且报价不低于起始价的，则该报价者为成交候选人；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电子挂牌交易期限内有</w:t>
      </w: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rPr>
        <w:t>个以上的竞买人报价，经</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询问，无竞买人愿意参加电子限时竞价的，以当前报价最高且报价不低于起始价者为成交候选人；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3</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电子挂牌交易期限内无报价的，挂牌不成交；</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4</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进入电子限时竞价，电子限时竞价中报价最高且报价不低于起始价者为成交候选人；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电子限时竞价中无竞买人报价的，以电子挂牌交易截止时报价最高且报价不低于起始价者为成交候选人。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（八）成交候选人竞买资格审查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本宗国有建设用地使用权网上挂牌出让实行竞买资格后置审查。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电子挂牌交易结束后，电子挂牌竞价结果即时通过</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发布。成交候选人应当在电子挂牌竞价结果公布后，按挂牌出让公告及竞买须知的要求将相关资料提交至委托人，由委托人进行竞买资格审查。符合竞买资格的，确定成交候选人为竞得人。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（九）公布交易结果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委托人确定竞得人后，由本中心通过</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发布交易结果。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（十）签订成交确认书和交易合同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确定竞得人后，竞得人按挂牌出让公告规定的时间与委托人、本中心签订《国有建设用地使用权网上挂牌成交确认书》（以下简称</w:t>
      </w:r>
      <w:r>
        <w:rPr>
          <w:rFonts w:hint="default" w:ascii="仿宋" w:hAnsi="仿宋" w:eastAsia="仿宋" w:cs="仿宋"/>
          <w:color w:val="auto"/>
          <w:sz w:val="32"/>
          <w:szCs w:val="32"/>
          <w:highlight w:val="none"/>
        </w:rPr>
        <w:t>“</w:t>
      </w:r>
      <w:r>
        <w:rPr>
          <w:rFonts w:hint="eastAsia" w:ascii="仿宋" w:hAnsi="仿宋" w:eastAsia="仿宋" w:cs="仿宋"/>
          <w:color w:val="auto"/>
          <w:sz w:val="32"/>
          <w:szCs w:val="32"/>
          <w:highlight w:val="none"/>
        </w:rPr>
        <w:t>成交确认书</w:t>
      </w:r>
      <w:r>
        <w:rPr>
          <w:rFonts w:hint="default" w:ascii="仿宋" w:hAnsi="仿宋" w:eastAsia="仿宋" w:cs="仿宋"/>
          <w:color w:val="auto"/>
          <w:sz w:val="32"/>
          <w:szCs w:val="32"/>
          <w:highlight w:val="none"/>
        </w:rPr>
        <w:t>”</w:t>
      </w:r>
      <w:r>
        <w:rPr>
          <w:rFonts w:hint="eastAsia" w:ascii="仿宋" w:hAnsi="仿宋" w:eastAsia="仿宋" w:cs="仿宋"/>
          <w:color w:val="auto"/>
          <w:sz w:val="32"/>
          <w:szCs w:val="32"/>
          <w:highlight w:val="none"/>
        </w:rPr>
        <w:t>），竞得人根据成交确认书约定的时间与委托人签订交易合同。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六、系统操作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竞买人操作视频可在本中心</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下载。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七、注意事项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pStyle w:val="4"/>
        <w:keepNext w:val="0"/>
        <w:keepLines w:val="0"/>
        <w:widowControl/>
        <w:suppressLineNumbers w:val="0"/>
        <w:ind w:left="0" w:firstLine="645"/>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（二）联合申请竞买的，联合竞买人在提交竞买申请材料时，须提交联合竞买申请书和协议，协议主要规定联合各方的权利和义务、参与竞买的代表人、联合各方的出资比例等。</w:t>
      </w:r>
    </w:p>
    <w:p>
      <w:pPr>
        <w:pStyle w:val="4"/>
        <w:keepNext w:val="0"/>
        <w:keepLines w:val="0"/>
        <w:widowControl/>
        <w:suppressLineNumbers w:val="0"/>
        <w:ind w:left="0" w:firstLine="645"/>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三）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（四）《竞价结果通知书》对委托人和成交候选人具有法律效力，委托人改变网上挂牌结果的，或者成交候选人放弃竞得宗地的，应当承担相应法律责任。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竞得人应按挂牌出让公告规定的时间与本中心、委托人签订成交确认书，根据成交确认书约定的时间与委托人签订出让合同，并按合同约定支付成交价款。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本中心受托提供代收代退竞买保证金服务，未竞得人缴纳的竞买保证金（以人民币缴纳的竞买保证金）将于电子挂牌交易活动结束之日起</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个工作日内原路退还保证金，不计利息。</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竞得人交纳的竞买保证金转付成交价款，办理转付成交价款手续应带齐如下相关资料：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.关于将竞买保证金转为土地成交价款的申请</w:t>
      </w:r>
      <w:r>
        <w:rPr>
          <w:rFonts w:hint="eastAsia" w:ascii="仿宋" w:hAnsi="仿宋" w:eastAsia="仿宋" w:cs="仿宋"/>
          <w:color w:val="auto"/>
          <w:sz w:val="32"/>
          <w:szCs w:val="32"/>
          <w:highlight w:val="none"/>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.惠州市非税收入缴款通知；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银行端查询缴税凭证；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竞价结果通知书；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保证金到账通知书；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保证金转账凭证。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（六）为避免网络延迟问题，竞买人首次报价应在网上挂牌截止前</w:t>
      </w:r>
      <w:r>
        <w:rPr>
          <w:rFonts w:hint="default" w:ascii="仿宋" w:hAnsi="仿宋" w:eastAsia="仿宋" w:cs="仿宋"/>
          <w:color w:val="auto"/>
          <w:sz w:val="32"/>
          <w:szCs w:val="32"/>
          <w:highlight w:val="none"/>
        </w:rPr>
        <w:t>10</w:t>
      </w:r>
      <w:r>
        <w:rPr>
          <w:rFonts w:hint="eastAsia" w:ascii="仿宋" w:hAnsi="仿宋" w:eastAsia="仿宋" w:cs="仿宋"/>
          <w:color w:val="auto"/>
          <w:sz w:val="32"/>
          <w:szCs w:val="32"/>
          <w:highlight w:val="none"/>
        </w:rPr>
        <w:t>分钟提交，以防止</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无法及时接收到报价的情况发生。</w:t>
      </w: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1</w:t>
      </w:r>
      <w:r>
        <w:rPr>
          <w:rFonts w:hint="eastAsia" w:ascii="仿宋" w:hAnsi="仿宋" w:eastAsia="仿宋" w:cs="仿宋"/>
          <w:color w:val="auto"/>
          <w:sz w:val="32"/>
          <w:szCs w:val="32"/>
          <w:highlight w:val="none"/>
        </w:rPr>
        <w:t>、电子交易系统受到黑客、病毒恶意攻击的；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2</w:t>
      </w:r>
      <w:r>
        <w:rPr>
          <w:rFonts w:hint="eastAsia" w:ascii="仿宋" w:hAnsi="仿宋" w:eastAsia="仿宋" w:cs="仿宋"/>
          <w:color w:val="auto"/>
          <w:sz w:val="32"/>
          <w:szCs w:val="32"/>
          <w:highlight w:val="none"/>
        </w:rPr>
        <w:t>、公共资源交易平台因停电、电子交易系统故障、网络故障、交易软件或数据库错误等因素影响到交易活动不能正常进行的；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3</w:t>
      </w:r>
      <w:r>
        <w:rPr>
          <w:rFonts w:hint="eastAsia" w:ascii="仿宋" w:hAnsi="仿宋" w:eastAsia="仿宋" w:cs="仿宋"/>
          <w:color w:val="auto"/>
          <w:sz w:val="32"/>
          <w:szCs w:val="32"/>
          <w:highlight w:val="none"/>
        </w:rPr>
        <w:t>、电子交易系统发现有安全漏洞，有潜在泄密危险，无法保证电子交易信息安全和公平公正交易的；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4</w:t>
      </w:r>
      <w:r>
        <w:rPr>
          <w:rFonts w:hint="eastAsia" w:ascii="仿宋" w:hAnsi="仿宋" w:eastAsia="仿宋" w:cs="仿宋"/>
          <w:color w:val="auto"/>
          <w:sz w:val="32"/>
          <w:szCs w:val="32"/>
          <w:highlight w:val="none"/>
        </w:rPr>
        <w:t>、政府有关行政主管部门及司法机关依法要求暂停、中止或终止交易的；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5</w:t>
      </w:r>
      <w:r>
        <w:rPr>
          <w:rFonts w:hint="eastAsia" w:ascii="仿宋" w:hAnsi="仿宋" w:eastAsia="仿宋" w:cs="仿宋"/>
          <w:color w:val="auto"/>
          <w:sz w:val="32"/>
          <w:szCs w:val="32"/>
          <w:highlight w:val="none"/>
        </w:rPr>
        <w:t>、委托人书面通知交易中心要求暂停、中止或终止交易的；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default" w:ascii="仿宋" w:hAnsi="仿宋" w:eastAsia="仿宋" w:cs="仿宋"/>
          <w:color w:val="auto"/>
          <w:sz w:val="32"/>
          <w:szCs w:val="32"/>
          <w:highlight w:val="none"/>
        </w:rPr>
        <w:t>6</w:t>
      </w:r>
      <w:r>
        <w:rPr>
          <w:rFonts w:hint="eastAsia" w:ascii="仿宋" w:hAnsi="仿宋" w:eastAsia="仿宋" w:cs="仿宋"/>
          <w:color w:val="auto"/>
          <w:sz w:val="32"/>
          <w:szCs w:val="32"/>
          <w:highlight w:val="none"/>
        </w:rPr>
        <w:t>、依法应当暂停、中止或终止交易的其他情形。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（九）竞得人与委托人签订出让合同后，应当按出让合同约定支付网上挂牌成交价款。竞得人付清全部成交价款后，依法申请办理土地登记，领取《不动产权证书》。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（十）网上挂牌不成交的，由委托人重新组织挂牌出让。</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（十一）挂牌出让公告、竞买须知及相关交易文件需要修改、补充时，将通过原挂牌出让公告发布渠道公告，不作另行通知。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申请人应当及时关注该宗地的网上挂牌交易信息。本中心发出的修改、补充公告，与挂牌出让公告、竞买须知及相关交易文件具有同等效力。若与挂牌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（十二）竞买须知及挂牌出让公告涉及的时间期限，以</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服务器的时间为准。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（十三）本中心对本竞买须知有解释权。未尽事宜依照《招标拍卖挂牌出让国有土地使用权规范》办理。</w:t>
      </w:r>
    </w:p>
    <w:p>
      <w:pPr>
        <w:pStyle w:val="4"/>
        <w:keepNext w:val="0"/>
        <w:keepLines w:val="0"/>
        <w:widowControl/>
        <w:suppressLineNumbers w:val="0"/>
        <w:jc w:val="center"/>
        <w:rPr>
          <w:color w:val="auto"/>
        </w:rPr>
      </w:pPr>
      <w:r>
        <w:rPr>
          <w:rFonts w:hint="eastAsia" w:ascii="宋体" w:hAnsi="宋体" w:eastAsia="宋体" w:cs="宋体"/>
          <w:color w:val="auto"/>
          <w:sz w:val="31"/>
          <w:szCs w:val="31"/>
        </w:rPr>
        <w:t>                         </w:t>
      </w:r>
    </w:p>
    <w:p>
      <w:pPr>
        <w:pStyle w:val="4"/>
        <w:keepNext w:val="0"/>
        <w:keepLines w:val="0"/>
        <w:widowControl/>
        <w:suppressLineNumbers w:val="0"/>
        <w:jc w:val="center"/>
        <w:rPr>
          <w:rFonts w:hint="eastAsia" w:ascii="仿宋" w:hAnsi="仿宋" w:eastAsia="仿宋" w:cs="仿宋"/>
          <w:color w:val="auto"/>
          <w:lang w:val="en-US" w:eastAsia="zh-CN"/>
        </w:rPr>
      </w:pPr>
      <w:r>
        <w:rPr>
          <w:rFonts w:hint="eastAsia" w:ascii="宋体" w:hAnsi="宋体" w:eastAsia="宋体" w:cs="宋体"/>
          <w:color w:val="auto"/>
          <w:sz w:val="31"/>
          <w:szCs w:val="31"/>
          <w:lang w:val="en-US" w:eastAsia="zh-CN"/>
        </w:rPr>
        <w:t xml:space="preserve">    </w:t>
      </w:r>
      <w:r>
        <w:rPr>
          <w:rFonts w:hint="eastAsia" w:ascii="宋体" w:hAnsi="宋体" w:eastAsia="宋体" w:cs="宋体"/>
          <w:color w:val="auto"/>
          <w:sz w:val="31"/>
          <w:szCs w:val="31"/>
        </w:rPr>
        <w:t>  </w:t>
      </w:r>
      <w:r>
        <w:rPr>
          <w:rFonts w:hint="eastAsia" w:ascii="仿宋" w:hAnsi="仿宋" w:eastAsia="仿宋" w:cs="仿宋"/>
          <w:color w:val="auto"/>
          <w:sz w:val="31"/>
          <w:szCs w:val="31"/>
        </w:rPr>
        <w:t>       惠州市公共资源交易中心</w:t>
      </w:r>
      <w:r>
        <w:rPr>
          <w:rFonts w:hint="eastAsia" w:ascii="仿宋" w:hAnsi="仿宋" w:eastAsia="仿宋" w:cs="仿宋"/>
          <w:color w:val="auto"/>
          <w:sz w:val="31"/>
          <w:szCs w:val="31"/>
          <w:lang w:val="en-US" w:eastAsia="zh-CN"/>
        </w:rPr>
        <w:t>大亚湾分中心</w:t>
      </w:r>
    </w:p>
    <w:p>
      <w:pPr>
        <w:pStyle w:val="4"/>
        <w:keepNext w:val="0"/>
        <w:keepLines w:val="0"/>
        <w:widowControl/>
        <w:suppressLineNumbers w:val="0"/>
        <w:jc w:val="center"/>
        <w:rPr>
          <w:rFonts w:hint="eastAsia" w:ascii="仿宋" w:hAnsi="仿宋" w:eastAsia="仿宋" w:cs="仿宋"/>
          <w:color w:val="auto"/>
          <w:sz w:val="31"/>
          <w:szCs w:val="31"/>
        </w:rPr>
      </w:pPr>
      <w:r>
        <w:rPr>
          <w:rFonts w:hint="eastAsia" w:ascii="仿宋" w:hAnsi="仿宋" w:eastAsia="仿宋" w:cs="仿宋"/>
          <w:b w:val="0"/>
          <w:bCs w:val="0"/>
          <w:color w:val="auto"/>
          <w:sz w:val="31"/>
          <w:szCs w:val="31"/>
          <w:lang w:val="en-US" w:eastAsia="zh-CN"/>
        </w:rPr>
        <w:t xml:space="preserve">   </w:t>
      </w:r>
      <w:r>
        <w:rPr>
          <w:rFonts w:hint="eastAsia" w:ascii="仿宋" w:hAnsi="仿宋" w:eastAsia="仿宋" w:cs="仿宋"/>
          <w:b w:val="0"/>
          <w:bCs w:val="0"/>
          <w:color w:val="auto"/>
          <w:sz w:val="31"/>
          <w:szCs w:val="31"/>
        </w:rPr>
        <w:t>         </w:t>
      </w:r>
      <w:r>
        <w:rPr>
          <w:rFonts w:hint="eastAsia" w:ascii="仿宋" w:hAnsi="仿宋" w:eastAsia="仿宋" w:cs="仿宋"/>
          <w:color w:val="auto"/>
          <w:sz w:val="31"/>
          <w:szCs w:val="31"/>
        </w:rPr>
        <w:t>  202</w:t>
      </w:r>
      <w:r>
        <w:rPr>
          <w:rFonts w:hint="eastAsia" w:ascii="仿宋" w:hAnsi="仿宋" w:eastAsia="仿宋" w:cs="仿宋"/>
          <w:color w:val="auto"/>
          <w:sz w:val="31"/>
          <w:szCs w:val="31"/>
          <w:lang w:val="en-US" w:eastAsia="zh-CN"/>
        </w:rPr>
        <w:t>4</w:t>
      </w:r>
      <w:r>
        <w:rPr>
          <w:rFonts w:hint="eastAsia" w:ascii="仿宋" w:hAnsi="仿宋" w:eastAsia="仿宋" w:cs="仿宋"/>
          <w:color w:val="auto"/>
          <w:sz w:val="31"/>
          <w:szCs w:val="31"/>
        </w:rPr>
        <w:t>年</w:t>
      </w:r>
      <w:r>
        <w:rPr>
          <w:rFonts w:hint="eastAsia" w:ascii="仿宋" w:hAnsi="仿宋" w:eastAsia="仿宋" w:cs="仿宋"/>
          <w:color w:val="auto"/>
          <w:sz w:val="31"/>
          <w:szCs w:val="31"/>
          <w:lang w:val="en-US" w:eastAsia="zh-CN"/>
        </w:rPr>
        <w:t>9</w:t>
      </w:r>
      <w:r>
        <w:rPr>
          <w:rFonts w:hint="eastAsia" w:ascii="仿宋" w:hAnsi="仿宋" w:eastAsia="仿宋" w:cs="仿宋"/>
          <w:color w:val="auto"/>
          <w:sz w:val="31"/>
          <w:szCs w:val="31"/>
        </w:rPr>
        <w:t>月</w:t>
      </w:r>
      <w:r>
        <w:rPr>
          <w:rFonts w:hint="eastAsia" w:ascii="仿宋" w:hAnsi="仿宋" w:eastAsia="仿宋" w:cs="仿宋"/>
          <w:color w:val="auto"/>
          <w:sz w:val="31"/>
          <w:szCs w:val="31"/>
          <w:lang w:val="en-US" w:eastAsia="zh-CN"/>
        </w:rPr>
        <w:t>10</w:t>
      </w:r>
      <w:r>
        <w:rPr>
          <w:rFonts w:hint="eastAsia" w:ascii="仿宋" w:hAnsi="仿宋" w:eastAsia="仿宋" w:cs="仿宋"/>
          <w:color w:val="auto"/>
          <w:sz w:val="31"/>
          <w:szCs w:val="31"/>
        </w:rPr>
        <w:t>日</w:t>
      </w:r>
    </w:p>
    <w:p>
      <w:pPr>
        <w:rPr>
          <w:rFonts w:hint="eastAsia" w:ascii="仿宋" w:hAnsi="仿宋" w:eastAsia="仿宋" w:cs="仿宋"/>
          <w:color w:val="auto"/>
        </w:rPr>
      </w:pPr>
    </w:p>
    <w:p>
      <w:pPr>
        <w:rPr>
          <w:rFonts w:hint="eastAsia"/>
          <w:color w:val="auto"/>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77E8F"/>
    <w:rsid w:val="026E02DF"/>
    <w:rsid w:val="02BD028F"/>
    <w:rsid w:val="03866911"/>
    <w:rsid w:val="05D157F8"/>
    <w:rsid w:val="06A94F3B"/>
    <w:rsid w:val="09794FD0"/>
    <w:rsid w:val="0AB1368A"/>
    <w:rsid w:val="0C044738"/>
    <w:rsid w:val="0C9E4D0C"/>
    <w:rsid w:val="0CC25F44"/>
    <w:rsid w:val="12946D3F"/>
    <w:rsid w:val="195F4D12"/>
    <w:rsid w:val="1C351F2A"/>
    <w:rsid w:val="1DCA772D"/>
    <w:rsid w:val="1FD640CC"/>
    <w:rsid w:val="21914B24"/>
    <w:rsid w:val="253A3592"/>
    <w:rsid w:val="2883697A"/>
    <w:rsid w:val="2B011625"/>
    <w:rsid w:val="2E400F3C"/>
    <w:rsid w:val="31AF1283"/>
    <w:rsid w:val="32E546BE"/>
    <w:rsid w:val="36392CDC"/>
    <w:rsid w:val="39EE517D"/>
    <w:rsid w:val="3A2A03AB"/>
    <w:rsid w:val="3B755831"/>
    <w:rsid w:val="3C1317DC"/>
    <w:rsid w:val="3D0C3779"/>
    <w:rsid w:val="3E631CDD"/>
    <w:rsid w:val="3E9E389B"/>
    <w:rsid w:val="40092DFB"/>
    <w:rsid w:val="42510620"/>
    <w:rsid w:val="44311B6B"/>
    <w:rsid w:val="45053C80"/>
    <w:rsid w:val="487B6036"/>
    <w:rsid w:val="48D60A0C"/>
    <w:rsid w:val="54E92E78"/>
    <w:rsid w:val="55696E86"/>
    <w:rsid w:val="57B65F84"/>
    <w:rsid w:val="5F80350C"/>
    <w:rsid w:val="6B233666"/>
    <w:rsid w:val="6FBF5299"/>
    <w:rsid w:val="70566167"/>
    <w:rsid w:val="780B4916"/>
    <w:rsid w:val="7DF82DDF"/>
    <w:rsid w:val="7FB27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0"/>
    <w:pPr>
      <w:ind w:firstLine="420" w:firstLineChars="200"/>
    </w:p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hint="default" w:ascii="Consolas" w:hAnsi="Consolas" w:eastAsia="Consolas" w:cs="Consolas"/>
      <w:color w:val="C7254E"/>
      <w:sz w:val="21"/>
      <w:szCs w:val="21"/>
      <w:shd w:val="clear" w:fill="F9F2F4"/>
    </w:rPr>
  </w:style>
  <w:style w:type="character" w:styleId="12">
    <w:name w:val="HTML Keyboard"/>
    <w:basedOn w:val="6"/>
    <w:qFormat/>
    <w:uiPriority w:val="0"/>
    <w:rPr>
      <w:rFonts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layui-layer-tabnow"/>
    <w:basedOn w:val="6"/>
    <w:qFormat/>
    <w:uiPriority w:val="0"/>
    <w:rPr>
      <w:bdr w:val="single" w:color="CCCCCC" w:sz="6" w:space="0"/>
      <w:shd w:val="clear" w:fill="FFFFFF"/>
    </w:rPr>
  </w:style>
  <w:style w:type="character" w:customStyle="1" w:styleId="15">
    <w:name w:val="first-child"/>
    <w:basedOn w:val="6"/>
    <w:qFormat/>
    <w:uiPriority w:val="0"/>
  </w:style>
  <w:style w:type="character" w:customStyle="1" w:styleId="16">
    <w:name w:val="actspan"/>
    <w:basedOn w:val="6"/>
    <w:qFormat/>
    <w:uiPriority w:val="0"/>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2023-06-07T03:55:00Z</dcterms:created>
  <dc:creator>lenovo-16</dc:creator>
  <cp:lastModifiedBy>花卷MM</cp:lastModifiedBy>
  <cp:lastPrinted>2023-06-25T03:07:00Z</cp:lastPrinted>
  <dcterms:modified xsi:type="dcterms:W3CDTF">2024-09-09T07:10:49Z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90CD9A2D239347D7AB82CFB36411827F</vt:lpwstr>
  </property>
</Properties>
</file>