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ind w:firstLine="600"/>
        <w:rPr>
          <w:sz w:val="30"/>
          <w:szCs w:val="30"/>
        </w:rPr>
      </w:pPr>
    </w:p>
    <w:p>
      <w:pPr>
        <w:ind w:firstLine="600"/>
        <w:rPr>
          <w:sz w:val="30"/>
          <w:szCs w:val="30"/>
        </w:rPr>
        <w:sectPr>
          <w:pgSz w:w="11906" w:h="16838"/>
          <w:pgMar w:top="1440" w:right="1800" w:bottom="1440" w:left="1800" w:header="851" w:footer="992" w:gutter="0"/>
          <w:cols w:space="720" w:num="1"/>
          <w:docGrid w:type="lines" w:linePitch="312" w:charSpace="0"/>
        </w:sectPr>
      </w:pPr>
    </w:p>
    <w:p>
      <w:pPr>
        <w:ind w:firstLine="600"/>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bookmarkStart w:id="0" w:name="_GoBack"/>
      <w:bookmarkEnd w:id="0"/>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rPr>
        <w:t>DYW2020</w:t>
      </w:r>
      <w:r>
        <w:rPr>
          <w:rFonts w:hint="eastAsia" w:ascii="仿宋_GB2312" w:hAnsi="仿宋_GB2312" w:eastAsia="仿宋_GB2312" w:cs="仿宋_GB2312"/>
          <w:sz w:val="32"/>
          <w:szCs w:val="32"/>
          <w:u w:val="single"/>
          <w:lang w:val="en-US" w:eastAsia="zh-CN"/>
        </w:rPr>
        <w:t>019</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贰万壹仟玖佰零壹</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21901</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贰万壹仟玖佰零壹</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21901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大亚湾</w:t>
      </w:r>
      <w:r>
        <w:rPr>
          <w:rFonts w:hint="eastAsia" w:ascii="仿宋_GB2312" w:hAnsi="仿宋_GB2312" w:eastAsia="仿宋_GB2312" w:cs="仿宋_GB2312"/>
          <w:sz w:val="32"/>
          <w:szCs w:val="32"/>
          <w:u w:val="single"/>
          <w:lang w:eastAsia="zh-CN"/>
        </w:rPr>
        <w:t>石化区</w:t>
      </w:r>
      <w:r>
        <w:rPr>
          <w:rFonts w:hint="eastAsia" w:ascii="仿宋_GB2312" w:hAnsi="仿宋_GB2312" w:eastAsia="仿宋_GB2312" w:cs="仿宋_GB2312"/>
          <w:sz w:val="32"/>
          <w:szCs w:val="32"/>
          <w:u w:val="single"/>
          <w:lang w:val="en-US" w:eastAsia="zh-CN"/>
        </w:rPr>
        <w:t>L3地块</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rPr>
        <w:t>工业用地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（一）</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（一）采取50年期先租后让，本合同为租赁合同，租期为</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GB" w:eastAsia="zh-CN" w:bidi="ar-SA"/>
        </w:rPr>
        <w:t>6个月租赁期满，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sz w:val="32"/>
          <w:szCs w:val="32"/>
        </w:rPr>
        <w:t xml:space="preserve">承租人同意在本合同签订之日起 </w:t>
      </w:r>
      <w:r>
        <w:rPr>
          <w:rFonts w:hint="eastAsia" w:ascii="仿宋_GB2312" w:hAnsi="仿宋_GB2312" w:eastAsia="仿宋_GB2312" w:cs="仿宋_GB2312"/>
          <w:sz w:val="32"/>
          <w:szCs w:val="32"/>
          <w:u w:val="single"/>
        </w:rPr>
        <w:t>30</w:t>
      </w:r>
      <w:r>
        <w:rPr>
          <w:rFonts w:hint="eastAsia" w:ascii="仿宋_GB2312" w:hAnsi="仿宋_GB2312" w:eastAsia="仿宋_GB2312" w:cs="仿宋_GB2312"/>
          <w:sz w:val="32"/>
          <w:szCs w:val="32"/>
        </w:rPr>
        <w:t>日内，一次性</w:t>
      </w:r>
      <w:r>
        <w:rPr>
          <w:rFonts w:hint="eastAsia" w:ascii="仿宋_GB2312" w:hAnsi="仿宋_GB2312" w:eastAsia="仿宋_GB2312" w:cs="仿宋_GB2312"/>
          <w:sz w:val="32"/>
          <w:szCs w:val="32"/>
          <w:lang w:eastAsia="zh-CN"/>
        </w:rPr>
        <w:t>按成交价款的</w:t>
      </w: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付清</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租赁价款。</w:t>
      </w:r>
    </w:p>
    <w:p>
      <w:pPr>
        <w:ind w:firstLine="600"/>
        <w:rPr>
          <w:sz w:val="32"/>
          <w:szCs w:val="32"/>
        </w:rPr>
      </w:pPr>
    </w:p>
    <w:p>
      <w:pPr>
        <w:tabs>
          <w:tab w:val="left" w:pos="2365"/>
          <w:tab w:val="center" w:pos="4775"/>
        </w:tabs>
        <w:jc w:val="left"/>
        <w:rPr>
          <w:rFonts w:ascii="黑体" w:hAnsi="黑体" w:eastAsia="黑体" w:cs="黑体"/>
          <w:b/>
          <w:sz w:val="32"/>
          <w:szCs w:val="32"/>
        </w:rPr>
      </w:pPr>
      <w:r>
        <w:rPr>
          <w:rFonts w:hint="eastAsia" w:ascii="黑体" w:hAnsi="黑体" w:eastAsia="黑体" w:cs="黑体"/>
          <w:b/>
          <w:sz w:val="32"/>
          <w:szCs w:val="32"/>
        </w:rPr>
        <w:tab/>
      </w:r>
      <w:r>
        <w:rPr>
          <w:rFonts w:hint="eastAsia" w:ascii="黑体" w:hAnsi="黑体" w:eastAsia="黑体" w:cs="黑体"/>
          <w:b/>
          <w:sz w:val="32"/>
          <w:szCs w:val="32"/>
        </w:rPr>
        <w:tab/>
      </w:r>
      <w:r>
        <w:rPr>
          <w:rFonts w:hint="eastAsia" w:ascii="黑体" w:hAnsi="黑体" w:eastAsia="黑体" w:cs="黑体"/>
          <w:b/>
          <w:sz w:val="32"/>
          <w:szCs w:val="32"/>
        </w:rPr>
        <w:t xml:space="preserve"> 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rPr>
        <w:t>容积率≥</w:t>
      </w:r>
      <w:r>
        <w:rPr>
          <w:rFonts w:hint="eastAsia" w:ascii="仿宋_GB2312" w:eastAsia="仿宋_GB2312"/>
          <w:sz w:val="32"/>
          <w:szCs w:val="32"/>
          <w:lang w:val="en-US" w:eastAsia="zh-CN"/>
        </w:rPr>
        <w:t>0.5</w:t>
      </w:r>
      <w:r>
        <w:rPr>
          <w:rFonts w:hint="eastAsia" w:ascii="仿宋_GB2312" w:eastAsia="仿宋_GB2312"/>
          <w:sz w:val="32"/>
          <w:szCs w:val="32"/>
        </w:rPr>
        <w:t>，建筑系数≥</w:t>
      </w:r>
      <w:r>
        <w:rPr>
          <w:rFonts w:hint="eastAsia" w:ascii="仿宋_GB2312" w:eastAsia="仿宋_GB2312"/>
          <w:sz w:val="32"/>
          <w:szCs w:val="32"/>
          <w:lang w:val="en-US" w:eastAsia="zh-CN"/>
        </w:rPr>
        <w:t>4</w:t>
      </w:r>
      <w:r>
        <w:rPr>
          <w:rFonts w:hint="eastAsia" w:ascii="仿宋_GB2312" w:eastAsia="仿宋_GB2312"/>
          <w:sz w:val="32"/>
          <w:szCs w:val="32"/>
        </w:rPr>
        <w:t>0%，绿地率≤</w:t>
      </w:r>
      <w:r>
        <w:rPr>
          <w:rFonts w:hint="eastAsia" w:ascii="仿宋_GB2312" w:eastAsia="仿宋_GB2312"/>
          <w:sz w:val="32"/>
          <w:szCs w:val="32"/>
          <w:lang w:val="en-US" w:eastAsia="zh-CN"/>
        </w:rPr>
        <w:t>12%</w:t>
      </w:r>
      <w:r>
        <w:rPr>
          <w:rFonts w:hint="eastAsia" w:ascii="仿宋_GB2312" w:eastAsia="仿宋_GB2312"/>
          <w:sz w:val="32"/>
          <w:szCs w:val="32"/>
        </w:rPr>
        <w:t>，停车位生产区≥0.2个/100㎡计容建筑面积，生产服务、行政办公及生活服务区≥1.0个/100㎡计容建筑面积。</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(一)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8240"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824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1312;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0288;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59264;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41E7A65"/>
    <w:rsid w:val="04962022"/>
    <w:rsid w:val="10C212CC"/>
    <w:rsid w:val="1BDD6311"/>
    <w:rsid w:val="1F920236"/>
    <w:rsid w:val="26597359"/>
    <w:rsid w:val="28E97C9C"/>
    <w:rsid w:val="29A86ECA"/>
    <w:rsid w:val="331829A5"/>
    <w:rsid w:val="343B3E06"/>
    <w:rsid w:val="34D53B35"/>
    <w:rsid w:val="38342E8E"/>
    <w:rsid w:val="3C067FAF"/>
    <w:rsid w:val="40A220D8"/>
    <w:rsid w:val="541D381E"/>
    <w:rsid w:val="597901DC"/>
    <w:rsid w:val="5B22548F"/>
    <w:rsid w:val="5D371C2E"/>
    <w:rsid w:val="6555714C"/>
    <w:rsid w:val="6BCB6E4C"/>
    <w:rsid w:val="6C5B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13</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郑健杰</cp:lastModifiedBy>
  <cp:lastPrinted>2020-11-12T06:59:48Z</cp:lastPrinted>
  <dcterms:modified xsi:type="dcterms:W3CDTF">2020-11-12T07:04:34Z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