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tabs>
          <w:tab w:val="left" w:pos="11340"/>
        </w:tabs>
        <w:spacing w:line="560" w:lineRule="exact"/>
        <w:ind w:left="4018" w:hanging="4029" w:hangingChars="900"/>
        <w:jc w:val="center"/>
        <w:rPr>
          <w:rFonts w:hint="eastAsia" w:ascii="方正小标宋简体" w:hAnsi="方正小标宋简体" w:eastAsia="方正小标宋简体" w:cs="方正小标宋简体"/>
          <w:b/>
          <w:bCs/>
          <w:color w:val="auto"/>
          <w:spacing w:val="3"/>
          <w:sz w:val="44"/>
          <w:szCs w:val="44"/>
        </w:rPr>
      </w:pPr>
      <w:r>
        <w:rPr>
          <w:rFonts w:hint="eastAsia" w:ascii="方正小标宋简体" w:hAnsi="方正小标宋简体" w:eastAsia="方正小标宋简体" w:cs="方正小标宋简体"/>
          <w:b/>
          <w:bCs/>
          <w:color w:val="auto"/>
          <w:spacing w:val="3"/>
          <w:sz w:val="44"/>
          <w:szCs w:val="44"/>
        </w:rPr>
        <w:t>惠州市国有建设用地使用权</w:t>
      </w:r>
    </w:p>
    <w:p>
      <w:pPr>
        <w:tabs>
          <w:tab w:val="left" w:pos="11340"/>
        </w:tabs>
        <w:spacing w:line="560" w:lineRule="exact"/>
        <w:ind w:left="4018" w:hanging="4029" w:hangingChars="900"/>
        <w:jc w:val="center"/>
        <w:rPr>
          <w:rFonts w:hint="eastAsia" w:ascii="方正小标宋简体" w:hAnsi="方正小标宋简体" w:eastAsia="方正小标宋简体" w:cs="方正小标宋简体"/>
          <w:b/>
          <w:bCs/>
          <w:color w:val="auto"/>
          <w:sz w:val="44"/>
          <w:szCs w:val="44"/>
        </w:rPr>
      </w:pPr>
      <w:r>
        <w:rPr>
          <w:rFonts w:hint="eastAsia" w:ascii="方正小标宋简体" w:hAnsi="方正小标宋简体" w:eastAsia="方正小标宋简体" w:cs="方正小标宋简体"/>
          <w:b/>
          <w:bCs/>
          <w:color w:val="auto"/>
          <w:spacing w:val="3"/>
          <w:sz w:val="44"/>
          <w:szCs w:val="44"/>
        </w:rPr>
        <w:t>网上挂牌</w:t>
      </w:r>
      <w:r>
        <w:rPr>
          <w:rFonts w:hint="eastAsia" w:ascii="方正小标宋简体" w:hAnsi="方正小标宋简体" w:eastAsia="方正小标宋简体" w:cs="方正小标宋简体"/>
          <w:b/>
          <w:bCs/>
          <w:color w:val="auto"/>
          <w:sz w:val="44"/>
          <w:szCs w:val="44"/>
        </w:rPr>
        <w:t>出让公告</w:t>
      </w:r>
    </w:p>
    <w:p>
      <w:pPr>
        <w:spacing w:line="560" w:lineRule="exact"/>
        <w:jc w:val="center"/>
        <w:rPr>
          <w:rFonts w:hint="eastAsia" w:ascii="Times New Roman" w:hAnsi="Times New Roman" w:eastAsia="仿宋_GB2312" w:cs="Times New Roman"/>
          <w:color w:val="auto"/>
          <w:sz w:val="32"/>
          <w:szCs w:val="32"/>
          <w:highlight w:val="none"/>
        </w:rPr>
      </w:pPr>
    </w:p>
    <w:p>
      <w:pPr>
        <w:spacing w:line="560" w:lineRule="exact"/>
        <w:jc w:val="center"/>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惠市资源挂出告字[2022]</w:t>
      </w:r>
      <w:r>
        <w:rPr>
          <w:rFonts w:hint="eastAsia" w:eastAsia="仿宋_GB2312" w:cs="Times New Roman"/>
          <w:color w:val="auto"/>
          <w:sz w:val="32"/>
          <w:szCs w:val="32"/>
          <w:highlight w:val="none"/>
          <w:lang w:val="en-US" w:eastAsia="zh-CN"/>
        </w:rPr>
        <w:t>002</w:t>
      </w:r>
      <w:r>
        <w:rPr>
          <w:rFonts w:hint="eastAsia" w:ascii="Times New Roman" w:hAnsi="Times New Roman" w:eastAsia="仿宋_GB2312" w:cs="Times New Roman"/>
          <w:color w:val="auto"/>
          <w:sz w:val="32"/>
          <w:szCs w:val="32"/>
          <w:highlight w:val="none"/>
        </w:rPr>
        <w:t>号</w:t>
      </w:r>
    </w:p>
    <w:p>
      <w:pPr>
        <w:pStyle w:val="3"/>
        <w:rPr>
          <w:rFonts w:hint="eastAsia"/>
          <w:color w:val="auto"/>
        </w:rPr>
      </w:pPr>
    </w:p>
    <w:p>
      <w:pPr>
        <w:keepNext w:val="0"/>
        <w:keepLines w:val="0"/>
        <w:pageBreakBefore w:val="0"/>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根据《招标拍卖挂牌出让国有建设用地使用权规定》</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国土资源部令第39号</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和《广东省土地使用权交易市场管理规定》</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广东省人民政府令第79号</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的规定，经批准，</w:t>
      </w:r>
      <w:r>
        <w:rPr>
          <w:rFonts w:hint="eastAsia" w:ascii="仿宋_GB2312" w:hAnsi="仿宋_GB2312" w:eastAsia="仿宋_GB2312" w:cs="仿宋_GB2312"/>
          <w:b w:val="0"/>
          <w:bCs w:val="0"/>
          <w:color w:val="auto"/>
          <w:sz w:val="32"/>
          <w:szCs w:val="32"/>
          <w:lang w:eastAsia="zh-CN"/>
        </w:rPr>
        <w:t>我</w:t>
      </w:r>
      <w:r>
        <w:rPr>
          <w:rFonts w:hint="eastAsia" w:ascii="仿宋_GB2312" w:hAnsi="仿宋_GB2312" w:eastAsia="仿宋_GB2312" w:cs="仿宋_GB2312"/>
          <w:b w:val="0"/>
          <w:bCs w:val="0"/>
          <w:color w:val="auto"/>
          <w:sz w:val="32"/>
          <w:szCs w:val="32"/>
        </w:rPr>
        <w:t>局决定以网上挂牌方式公开出让下列一宗国有建设用地使用权。现将有关事项公告如下：</w:t>
      </w:r>
    </w:p>
    <w:p>
      <w:pPr>
        <w:keepNext w:val="0"/>
        <w:keepLines w:val="0"/>
        <w:pageBreakBefore w:val="0"/>
        <w:numPr>
          <w:ilvl w:val="0"/>
          <w:numId w:val="1"/>
        </w:numPr>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网上挂牌出让地块基本情况及规划指标要求（见附表）</w:t>
      </w:r>
    </w:p>
    <w:p>
      <w:pPr>
        <w:keepNext w:val="0"/>
        <w:keepLines w:val="0"/>
        <w:pageBreakBefore w:val="0"/>
        <w:numPr>
          <w:ilvl w:val="0"/>
          <w:numId w:val="1"/>
        </w:numPr>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挂牌起始价及加价幅度</w:t>
      </w:r>
    </w:p>
    <w:p>
      <w:pPr>
        <w:keepNext w:val="0"/>
        <w:keepLines w:val="0"/>
        <w:pageBreakBefore w:val="0"/>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挂牌起始价为人民币</w:t>
      </w:r>
      <w:r>
        <w:rPr>
          <w:rFonts w:hint="eastAsia" w:ascii="仿宋_GB2312" w:hAnsi="仿宋_GB2312" w:eastAsia="仿宋_GB2312" w:cs="仿宋_GB2312"/>
          <w:color w:val="auto"/>
          <w:kern w:val="2"/>
          <w:sz w:val="32"/>
          <w:szCs w:val="32"/>
          <w:lang w:val="en-US" w:eastAsia="zh-CN"/>
        </w:rPr>
        <w:t>950</w:t>
      </w:r>
      <w:r>
        <w:rPr>
          <w:rFonts w:hint="eastAsia" w:ascii="仿宋_GB2312" w:hAnsi="仿宋_GB2312" w:eastAsia="仿宋_GB2312" w:cs="仿宋_GB2312"/>
          <w:b w:val="0"/>
          <w:bCs w:val="0"/>
          <w:color w:val="auto"/>
          <w:sz w:val="32"/>
          <w:szCs w:val="32"/>
        </w:rPr>
        <w:t>万元,每次报价加价幅度为人民币</w:t>
      </w:r>
      <w:r>
        <w:rPr>
          <w:rFonts w:hint="eastAsia" w:ascii="仿宋_GB2312" w:hAnsi="仿宋_GB2312" w:eastAsia="仿宋_GB2312" w:cs="仿宋_GB2312"/>
          <w:b w:val="0"/>
          <w:bCs w:val="0"/>
          <w:color w:val="auto"/>
          <w:sz w:val="32"/>
          <w:szCs w:val="32"/>
          <w:u w:val="none"/>
          <w:lang w:val="en-US" w:eastAsia="zh-CN"/>
        </w:rPr>
        <w:t>50</w:t>
      </w:r>
      <w:r>
        <w:rPr>
          <w:rFonts w:hint="eastAsia" w:ascii="仿宋_GB2312" w:hAnsi="仿宋_GB2312" w:eastAsia="仿宋_GB2312" w:cs="仿宋_GB2312"/>
          <w:b w:val="0"/>
          <w:bCs w:val="0"/>
          <w:color w:val="auto"/>
          <w:sz w:val="32"/>
          <w:szCs w:val="32"/>
        </w:rPr>
        <w:t>万元的整数倍。</w:t>
      </w:r>
    </w:p>
    <w:p>
      <w:pPr>
        <w:keepNext w:val="0"/>
        <w:keepLines w:val="0"/>
        <w:pageBreakBefore w:val="0"/>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rPr>
        <w:t>三、时间安排</w:t>
      </w:r>
    </w:p>
    <w:p>
      <w:pPr>
        <w:pStyle w:val="2"/>
        <w:ind w:left="0" w:leftChars="0" w:firstLine="640" w:firstLineChars="200"/>
        <w:jc w:val="left"/>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lang w:val="en-US" w:eastAsia="zh-CN"/>
        </w:rPr>
        <w:t>一</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公告时间：</w:t>
      </w:r>
      <w:r>
        <w:rPr>
          <w:rFonts w:hint="eastAsia" w:ascii="仿宋_GB2312" w:hAnsi="仿宋_GB2312" w:eastAsia="仿宋_GB2312" w:cs="仿宋_GB2312"/>
          <w:b w:val="0"/>
          <w:bCs w:val="0"/>
          <w:color w:val="auto"/>
          <w:sz w:val="32"/>
          <w:szCs w:val="32"/>
          <w:highlight w:val="none"/>
          <w:u w:val="single"/>
          <w:lang w:val="en-US" w:eastAsia="zh-CN"/>
        </w:rPr>
        <w:t xml:space="preserve"> 2022  </w:t>
      </w:r>
      <w:r>
        <w:rPr>
          <w:rFonts w:hint="eastAsia" w:ascii="仿宋_GB2312" w:hAnsi="仿宋_GB2312" w:eastAsia="仿宋_GB2312" w:cs="仿宋_GB2312"/>
          <w:b w:val="0"/>
          <w:bCs w:val="0"/>
          <w:color w:val="auto"/>
          <w:sz w:val="32"/>
          <w:szCs w:val="32"/>
          <w:highlight w:val="none"/>
        </w:rPr>
        <w:t>年</w:t>
      </w:r>
      <w:r>
        <w:rPr>
          <w:rFonts w:hint="eastAsia" w:ascii="仿宋_GB2312" w:hAnsi="仿宋_GB2312" w:eastAsia="仿宋_GB2312" w:cs="仿宋_GB2312"/>
          <w:b w:val="0"/>
          <w:bCs w:val="0"/>
          <w:color w:val="auto"/>
          <w:sz w:val="32"/>
          <w:szCs w:val="32"/>
          <w:highlight w:val="none"/>
          <w:u w:val="single"/>
          <w:lang w:val="en-US" w:eastAsia="zh-CN"/>
        </w:rPr>
        <w:t xml:space="preserve">  9 </w:t>
      </w:r>
      <w:r>
        <w:rPr>
          <w:rFonts w:hint="eastAsia" w:ascii="仿宋_GB2312" w:hAnsi="仿宋_GB2312" w:eastAsia="仿宋_GB2312" w:cs="仿宋_GB2312"/>
          <w:b w:val="0"/>
          <w:bCs w:val="0"/>
          <w:color w:val="auto"/>
          <w:sz w:val="32"/>
          <w:szCs w:val="32"/>
          <w:highlight w:val="none"/>
        </w:rPr>
        <w:t>月</w:t>
      </w:r>
      <w:r>
        <w:rPr>
          <w:rFonts w:hint="eastAsia" w:ascii="仿宋_GB2312" w:hAnsi="仿宋_GB2312" w:eastAsia="仿宋_GB2312" w:cs="仿宋_GB2312"/>
          <w:b w:val="0"/>
          <w:bCs w:val="0"/>
          <w:color w:val="auto"/>
          <w:sz w:val="32"/>
          <w:szCs w:val="32"/>
          <w:highlight w:val="none"/>
          <w:u w:val="single"/>
          <w:lang w:val="en-US" w:eastAsia="zh-CN"/>
        </w:rPr>
        <w:t xml:space="preserve"> 20  </w:t>
      </w:r>
      <w:r>
        <w:rPr>
          <w:rFonts w:hint="eastAsia" w:ascii="仿宋_GB2312" w:hAnsi="仿宋_GB2312" w:eastAsia="仿宋_GB2312" w:cs="仿宋_GB2312"/>
          <w:b w:val="0"/>
          <w:bCs w:val="0"/>
          <w:color w:val="auto"/>
          <w:sz w:val="32"/>
          <w:szCs w:val="32"/>
          <w:highlight w:val="none"/>
        </w:rPr>
        <w:t>日</w:t>
      </w:r>
      <w:r>
        <w:rPr>
          <w:rFonts w:hint="eastAsia" w:ascii="仿宋_GB2312" w:hAnsi="仿宋_GB2312" w:eastAsia="仿宋_GB2312" w:cs="仿宋_GB2312"/>
          <w:b w:val="0"/>
          <w:bCs w:val="0"/>
          <w:color w:val="auto"/>
          <w:sz w:val="32"/>
          <w:szCs w:val="32"/>
          <w:highlight w:val="none"/>
          <w:lang w:val="en-US" w:eastAsia="zh-CN"/>
        </w:rPr>
        <w:t>至</w:t>
      </w:r>
      <w:r>
        <w:rPr>
          <w:rFonts w:hint="eastAsia" w:ascii="仿宋_GB2312" w:hAnsi="仿宋_GB2312" w:eastAsia="仿宋_GB2312" w:cs="仿宋_GB2312"/>
          <w:b w:val="0"/>
          <w:bCs w:val="0"/>
          <w:color w:val="auto"/>
          <w:sz w:val="32"/>
          <w:szCs w:val="32"/>
          <w:highlight w:val="none"/>
          <w:u w:val="single"/>
          <w:lang w:val="en-US" w:eastAsia="zh-CN"/>
        </w:rPr>
        <w:t xml:space="preserve"> 2022  </w:t>
      </w:r>
      <w:r>
        <w:rPr>
          <w:rFonts w:hint="eastAsia" w:ascii="仿宋_GB2312" w:hAnsi="仿宋_GB2312" w:eastAsia="仿宋_GB2312" w:cs="仿宋_GB2312"/>
          <w:b w:val="0"/>
          <w:bCs w:val="0"/>
          <w:color w:val="auto"/>
          <w:sz w:val="32"/>
          <w:szCs w:val="32"/>
          <w:highlight w:val="none"/>
        </w:rPr>
        <w:t>年</w:t>
      </w:r>
      <w:r>
        <w:rPr>
          <w:rFonts w:hint="eastAsia" w:ascii="仿宋_GB2312" w:hAnsi="仿宋_GB2312" w:eastAsia="仿宋_GB2312" w:cs="仿宋_GB2312"/>
          <w:b w:val="0"/>
          <w:bCs w:val="0"/>
          <w:color w:val="auto"/>
          <w:sz w:val="32"/>
          <w:szCs w:val="32"/>
          <w:highlight w:val="none"/>
          <w:u w:val="single"/>
          <w:lang w:val="en-US" w:eastAsia="zh-CN"/>
        </w:rPr>
        <w:t xml:space="preserve"> 10  </w:t>
      </w:r>
      <w:r>
        <w:rPr>
          <w:rFonts w:hint="eastAsia" w:ascii="仿宋_GB2312" w:hAnsi="仿宋_GB2312" w:eastAsia="仿宋_GB2312" w:cs="仿宋_GB2312"/>
          <w:b w:val="0"/>
          <w:bCs w:val="0"/>
          <w:color w:val="auto"/>
          <w:sz w:val="32"/>
          <w:szCs w:val="32"/>
          <w:highlight w:val="none"/>
        </w:rPr>
        <w:t>月</w:t>
      </w:r>
      <w:r>
        <w:rPr>
          <w:rFonts w:hint="eastAsia" w:ascii="仿宋_GB2312" w:hAnsi="仿宋_GB2312" w:eastAsia="仿宋_GB2312" w:cs="仿宋_GB2312"/>
          <w:b w:val="0"/>
          <w:bCs w:val="0"/>
          <w:color w:val="auto"/>
          <w:sz w:val="32"/>
          <w:szCs w:val="32"/>
          <w:highlight w:val="none"/>
          <w:u w:val="single"/>
          <w:lang w:val="en-US" w:eastAsia="zh-CN"/>
        </w:rPr>
        <w:t xml:space="preserve"> 9 </w:t>
      </w:r>
      <w:r>
        <w:rPr>
          <w:rFonts w:hint="eastAsia" w:ascii="仿宋_GB2312" w:hAnsi="仿宋_GB2312" w:eastAsia="仿宋_GB2312" w:cs="仿宋_GB2312"/>
          <w:b w:val="0"/>
          <w:bCs w:val="0"/>
          <w:color w:val="auto"/>
          <w:sz w:val="32"/>
          <w:szCs w:val="32"/>
          <w:highlight w:val="none"/>
        </w:rPr>
        <w:t>日</w:t>
      </w:r>
      <w:r>
        <w:rPr>
          <w:rFonts w:hint="eastAsia" w:ascii="仿宋_GB2312" w:hAnsi="仿宋_GB2312" w:eastAsia="仿宋_GB2312" w:cs="仿宋_GB2312"/>
          <w:b w:val="0"/>
          <w:bCs w:val="0"/>
          <w:color w:val="auto"/>
          <w:sz w:val="32"/>
          <w:szCs w:val="32"/>
          <w:highlight w:val="none"/>
          <w:lang w:eastAsia="zh-CN"/>
        </w:rPr>
        <w:t>。</w:t>
      </w:r>
    </w:p>
    <w:p>
      <w:pPr>
        <w:pStyle w:val="2"/>
        <w:ind w:left="0" w:leftChars="0" w:firstLine="640" w:firstLineChars="200"/>
        <w:jc w:val="left"/>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lang w:val="en-US" w:eastAsia="zh-CN"/>
        </w:rPr>
        <w:t>二</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网上挂牌竞买时间：</w:t>
      </w:r>
      <w:r>
        <w:rPr>
          <w:rFonts w:hint="eastAsia" w:ascii="仿宋_GB2312" w:hAnsi="仿宋_GB2312" w:eastAsia="仿宋_GB2312" w:cs="仿宋_GB2312"/>
          <w:b w:val="0"/>
          <w:bCs w:val="0"/>
          <w:color w:val="auto"/>
          <w:sz w:val="32"/>
          <w:szCs w:val="32"/>
          <w:highlight w:val="none"/>
          <w:u w:val="single"/>
          <w:lang w:val="en-US" w:eastAsia="zh-CN"/>
        </w:rPr>
        <w:t xml:space="preserve"> 2022  </w:t>
      </w:r>
      <w:r>
        <w:rPr>
          <w:rFonts w:hint="eastAsia" w:ascii="仿宋_GB2312" w:hAnsi="仿宋_GB2312" w:eastAsia="仿宋_GB2312" w:cs="仿宋_GB2312"/>
          <w:b w:val="0"/>
          <w:bCs w:val="0"/>
          <w:color w:val="auto"/>
          <w:sz w:val="32"/>
          <w:szCs w:val="32"/>
          <w:highlight w:val="none"/>
        </w:rPr>
        <w:t>年</w:t>
      </w:r>
      <w:r>
        <w:rPr>
          <w:rFonts w:hint="eastAsia" w:ascii="仿宋_GB2312" w:hAnsi="仿宋_GB2312" w:eastAsia="仿宋_GB2312" w:cs="仿宋_GB2312"/>
          <w:b w:val="0"/>
          <w:bCs w:val="0"/>
          <w:color w:val="auto"/>
          <w:sz w:val="32"/>
          <w:szCs w:val="32"/>
          <w:highlight w:val="none"/>
          <w:u w:val="single"/>
          <w:lang w:val="en-US" w:eastAsia="zh-CN"/>
        </w:rPr>
        <w:t xml:space="preserve">  10 </w:t>
      </w:r>
      <w:r>
        <w:rPr>
          <w:rFonts w:hint="eastAsia" w:ascii="仿宋_GB2312" w:hAnsi="仿宋_GB2312" w:eastAsia="仿宋_GB2312" w:cs="仿宋_GB2312"/>
          <w:b w:val="0"/>
          <w:bCs w:val="0"/>
          <w:color w:val="auto"/>
          <w:sz w:val="32"/>
          <w:szCs w:val="32"/>
          <w:highlight w:val="none"/>
        </w:rPr>
        <w:t>月</w:t>
      </w:r>
      <w:r>
        <w:rPr>
          <w:rFonts w:hint="eastAsia" w:ascii="仿宋_GB2312" w:hAnsi="仿宋_GB2312" w:eastAsia="仿宋_GB2312" w:cs="仿宋_GB2312"/>
          <w:b w:val="0"/>
          <w:bCs w:val="0"/>
          <w:color w:val="auto"/>
          <w:sz w:val="32"/>
          <w:szCs w:val="32"/>
          <w:highlight w:val="none"/>
          <w:u w:val="single"/>
          <w:lang w:val="en-US" w:eastAsia="zh-CN"/>
        </w:rPr>
        <w:t xml:space="preserve"> 10 </w:t>
      </w:r>
      <w:r>
        <w:rPr>
          <w:rFonts w:hint="eastAsia" w:ascii="仿宋_GB2312" w:hAnsi="仿宋_GB2312" w:eastAsia="仿宋_GB2312" w:cs="仿宋_GB2312"/>
          <w:b w:val="0"/>
          <w:bCs w:val="0"/>
          <w:color w:val="auto"/>
          <w:sz w:val="32"/>
          <w:szCs w:val="32"/>
          <w:highlight w:val="none"/>
        </w:rPr>
        <w:t>日</w:t>
      </w:r>
      <w:r>
        <w:rPr>
          <w:rFonts w:hint="eastAsia" w:ascii="仿宋_GB2312" w:hAnsi="仿宋_GB2312" w:eastAsia="仿宋_GB2312" w:cs="仿宋_GB2312"/>
          <w:b w:val="0"/>
          <w:bCs w:val="0"/>
          <w:color w:val="auto"/>
          <w:sz w:val="32"/>
          <w:szCs w:val="32"/>
          <w:highlight w:val="none"/>
          <w:u w:val="single"/>
          <w:lang w:val="en-US" w:eastAsia="zh-CN"/>
        </w:rPr>
        <w:t xml:space="preserve">  9 </w:t>
      </w:r>
      <w:r>
        <w:rPr>
          <w:rFonts w:hint="eastAsia" w:ascii="仿宋_GB2312" w:hAnsi="仿宋_GB2312" w:eastAsia="仿宋_GB2312" w:cs="仿宋_GB2312"/>
          <w:b w:val="0"/>
          <w:bCs w:val="0"/>
          <w:color w:val="auto"/>
          <w:sz w:val="32"/>
          <w:szCs w:val="32"/>
          <w:highlight w:val="none"/>
        </w:rPr>
        <w:t>时至</w:t>
      </w:r>
      <w:r>
        <w:rPr>
          <w:rFonts w:hint="eastAsia" w:ascii="仿宋_GB2312" w:hAnsi="仿宋_GB2312" w:eastAsia="仿宋_GB2312" w:cs="仿宋_GB2312"/>
          <w:b w:val="0"/>
          <w:bCs w:val="0"/>
          <w:color w:val="auto"/>
          <w:sz w:val="32"/>
          <w:szCs w:val="32"/>
          <w:highlight w:val="none"/>
          <w:u w:val="single"/>
          <w:lang w:val="en-US" w:eastAsia="zh-CN"/>
        </w:rPr>
        <w:t xml:space="preserve"> 2022 </w:t>
      </w:r>
      <w:r>
        <w:rPr>
          <w:rFonts w:hint="eastAsia" w:ascii="仿宋_GB2312" w:hAnsi="仿宋_GB2312" w:eastAsia="仿宋_GB2312" w:cs="仿宋_GB2312"/>
          <w:b w:val="0"/>
          <w:bCs w:val="0"/>
          <w:color w:val="auto"/>
          <w:sz w:val="32"/>
          <w:szCs w:val="32"/>
          <w:highlight w:val="none"/>
          <w:u w:val="none"/>
          <w:lang w:val="en-US" w:eastAsia="zh-CN"/>
        </w:rPr>
        <w:t>年</w:t>
      </w:r>
      <w:r>
        <w:rPr>
          <w:rFonts w:hint="eastAsia" w:ascii="仿宋_GB2312" w:hAnsi="仿宋_GB2312" w:eastAsia="仿宋_GB2312" w:cs="仿宋_GB2312"/>
          <w:b w:val="0"/>
          <w:bCs w:val="0"/>
          <w:color w:val="auto"/>
          <w:sz w:val="32"/>
          <w:szCs w:val="32"/>
          <w:highlight w:val="none"/>
          <w:u w:val="single"/>
          <w:lang w:val="en-US" w:eastAsia="zh-CN"/>
        </w:rPr>
        <w:t xml:space="preserve"> 10  </w:t>
      </w:r>
      <w:r>
        <w:rPr>
          <w:rFonts w:hint="eastAsia" w:ascii="仿宋_GB2312" w:hAnsi="仿宋_GB2312" w:eastAsia="仿宋_GB2312" w:cs="仿宋_GB2312"/>
          <w:b w:val="0"/>
          <w:bCs w:val="0"/>
          <w:color w:val="auto"/>
          <w:sz w:val="32"/>
          <w:szCs w:val="32"/>
          <w:highlight w:val="none"/>
        </w:rPr>
        <w:t>月</w:t>
      </w:r>
      <w:r>
        <w:rPr>
          <w:rFonts w:hint="eastAsia" w:ascii="仿宋_GB2312" w:hAnsi="仿宋_GB2312" w:eastAsia="仿宋_GB2312" w:cs="仿宋_GB2312"/>
          <w:b w:val="0"/>
          <w:bCs w:val="0"/>
          <w:color w:val="auto"/>
          <w:sz w:val="32"/>
          <w:szCs w:val="32"/>
          <w:highlight w:val="none"/>
          <w:u w:val="single"/>
          <w:lang w:val="en-US" w:eastAsia="zh-CN"/>
        </w:rPr>
        <w:t xml:space="preserve"> 24 </w:t>
      </w:r>
      <w:r>
        <w:rPr>
          <w:rFonts w:hint="eastAsia" w:ascii="仿宋_GB2312" w:hAnsi="仿宋_GB2312" w:eastAsia="仿宋_GB2312" w:cs="仿宋_GB2312"/>
          <w:b w:val="0"/>
          <w:bCs w:val="0"/>
          <w:color w:val="auto"/>
          <w:sz w:val="32"/>
          <w:szCs w:val="32"/>
          <w:highlight w:val="none"/>
        </w:rPr>
        <w:t>日</w:t>
      </w:r>
      <w:r>
        <w:rPr>
          <w:rFonts w:hint="eastAsia" w:ascii="仿宋_GB2312" w:hAnsi="仿宋_GB2312" w:eastAsia="仿宋_GB2312" w:cs="仿宋_GB2312"/>
          <w:b w:val="0"/>
          <w:bCs w:val="0"/>
          <w:color w:val="auto"/>
          <w:sz w:val="32"/>
          <w:szCs w:val="32"/>
          <w:highlight w:val="none"/>
          <w:u w:val="single"/>
          <w:lang w:val="en-US" w:eastAsia="zh-CN"/>
        </w:rPr>
        <w:t xml:space="preserve"> 10  </w:t>
      </w:r>
      <w:r>
        <w:rPr>
          <w:rFonts w:hint="eastAsia" w:ascii="仿宋_GB2312" w:hAnsi="仿宋_GB2312" w:eastAsia="仿宋_GB2312" w:cs="仿宋_GB2312"/>
          <w:b w:val="0"/>
          <w:bCs w:val="0"/>
          <w:color w:val="auto"/>
          <w:sz w:val="32"/>
          <w:szCs w:val="32"/>
          <w:highlight w:val="none"/>
        </w:rPr>
        <w:t>时。</w:t>
      </w:r>
    </w:p>
    <w:p>
      <w:pPr>
        <w:numPr>
          <w:ilvl w:val="0"/>
          <w:numId w:val="0"/>
        </w:numPr>
        <w:spacing w:line="560" w:lineRule="exact"/>
        <w:ind w:firstLine="640" w:firstLineChars="200"/>
        <w:jc w:val="both"/>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lang w:val="en-US" w:eastAsia="zh-CN"/>
        </w:rPr>
        <w:t>三</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竞买保证金到账截止时间为：</w:t>
      </w:r>
      <w:r>
        <w:rPr>
          <w:rFonts w:hint="eastAsia" w:ascii="仿宋_GB2312" w:hAnsi="仿宋_GB2312" w:eastAsia="仿宋_GB2312" w:cs="仿宋_GB2312"/>
          <w:b w:val="0"/>
          <w:bCs w:val="0"/>
          <w:color w:val="auto"/>
          <w:sz w:val="32"/>
          <w:szCs w:val="32"/>
          <w:highlight w:val="none"/>
          <w:u w:val="single"/>
          <w:lang w:val="en-US" w:eastAsia="zh-CN"/>
        </w:rPr>
        <w:t xml:space="preserve"> 2022  </w:t>
      </w:r>
      <w:r>
        <w:rPr>
          <w:rFonts w:hint="eastAsia" w:ascii="仿宋_GB2312" w:hAnsi="仿宋_GB2312" w:eastAsia="仿宋_GB2312" w:cs="仿宋_GB2312"/>
          <w:b w:val="0"/>
          <w:bCs w:val="0"/>
          <w:color w:val="auto"/>
          <w:sz w:val="32"/>
          <w:szCs w:val="32"/>
          <w:highlight w:val="none"/>
        </w:rPr>
        <w:t>年</w:t>
      </w:r>
      <w:r>
        <w:rPr>
          <w:rFonts w:hint="eastAsia" w:ascii="仿宋_GB2312" w:hAnsi="仿宋_GB2312" w:eastAsia="仿宋_GB2312" w:cs="仿宋_GB2312"/>
          <w:b w:val="0"/>
          <w:bCs w:val="0"/>
          <w:color w:val="auto"/>
          <w:sz w:val="32"/>
          <w:szCs w:val="32"/>
          <w:highlight w:val="none"/>
          <w:u w:val="single"/>
          <w:lang w:val="en-US" w:eastAsia="zh-CN"/>
        </w:rPr>
        <w:t xml:space="preserve">  10 </w:t>
      </w:r>
      <w:r>
        <w:rPr>
          <w:rFonts w:hint="eastAsia" w:ascii="仿宋_GB2312" w:hAnsi="仿宋_GB2312" w:eastAsia="仿宋_GB2312" w:cs="仿宋_GB2312"/>
          <w:b w:val="0"/>
          <w:bCs w:val="0"/>
          <w:color w:val="auto"/>
          <w:sz w:val="32"/>
          <w:szCs w:val="32"/>
          <w:highlight w:val="none"/>
        </w:rPr>
        <w:t>月</w:t>
      </w:r>
      <w:r>
        <w:rPr>
          <w:rFonts w:hint="eastAsia" w:ascii="仿宋_GB2312" w:hAnsi="仿宋_GB2312" w:eastAsia="仿宋_GB2312" w:cs="仿宋_GB2312"/>
          <w:b w:val="0"/>
          <w:bCs w:val="0"/>
          <w:color w:val="auto"/>
          <w:sz w:val="32"/>
          <w:szCs w:val="32"/>
          <w:highlight w:val="none"/>
          <w:u w:val="single"/>
          <w:lang w:val="en-US" w:eastAsia="zh-CN"/>
        </w:rPr>
        <w:t xml:space="preserve"> 24  </w:t>
      </w:r>
      <w:r>
        <w:rPr>
          <w:rFonts w:hint="eastAsia" w:ascii="仿宋_GB2312" w:hAnsi="仿宋_GB2312" w:eastAsia="仿宋_GB2312" w:cs="仿宋_GB2312"/>
          <w:b w:val="0"/>
          <w:bCs w:val="0"/>
          <w:color w:val="auto"/>
          <w:sz w:val="32"/>
          <w:szCs w:val="32"/>
          <w:highlight w:val="none"/>
        </w:rPr>
        <w:t>日</w:t>
      </w:r>
      <w:r>
        <w:rPr>
          <w:rFonts w:hint="eastAsia" w:ascii="仿宋_GB2312" w:hAnsi="仿宋_GB2312" w:eastAsia="仿宋_GB2312" w:cs="仿宋_GB2312"/>
          <w:b w:val="0"/>
          <w:bCs w:val="0"/>
          <w:color w:val="auto"/>
          <w:sz w:val="32"/>
          <w:szCs w:val="32"/>
          <w:highlight w:val="none"/>
          <w:u w:val="single"/>
          <w:lang w:val="en-US" w:eastAsia="zh-CN"/>
        </w:rPr>
        <w:t xml:space="preserve">  9 </w:t>
      </w:r>
      <w:r>
        <w:rPr>
          <w:rFonts w:hint="eastAsia" w:ascii="仿宋_GB2312" w:hAnsi="仿宋_GB2312" w:eastAsia="仿宋_GB2312" w:cs="仿宋_GB2312"/>
          <w:b w:val="0"/>
          <w:bCs w:val="0"/>
          <w:color w:val="auto"/>
          <w:sz w:val="32"/>
          <w:szCs w:val="32"/>
          <w:highlight w:val="none"/>
        </w:rPr>
        <w:t>时。</w:t>
      </w:r>
    </w:p>
    <w:p>
      <w:pPr>
        <w:keepNext w:val="0"/>
        <w:keepLines w:val="0"/>
        <w:pageBreakBefore w:val="0"/>
        <w:numPr>
          <w:ilvl w:val="0"/>
          <w:numId w:val="0"/>
        </w:numPr>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四、竞买资格及要求</w:t>
      </w:r>
    </w:p>
    <w:p>
      <w:pPr>
        <w:keepNext w:val="0"/>
        <w:keepLines w:val="0"/>
        <w:pageBreakBefore w:val="0"/>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中华人民共和国境内外的法人</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自然人</w:t>
      </w:r>
      <w:r>
        <w:rPr>
          <w:rFonts w:hint="eastAsia" w:ascii="仿宋_GB2312" w:hAnsi="仿宋_GB2312" w:eastAsia="仿宋_GB2312" w:cs="仿宋_GB2312"/>
          <w:b w:val="0"/>
          <w:bCs w:val="0"/>
          <w:color w:val="auto"/>
          <w:sz w:val="32"/>
          <w:szCs w:val="32"/>
        </w:rPr>
        <w:t>和其他</w:t>
      </w:r>
      <w:r>
        <w:rPr>
          <w:rFonts w:hint="eastAsia" w:ascii="仿宋_GB2312" w:hAnsi="仿宋_GB2312" w:eastAsia="仿宋_GB2312" w:cs="仿宋_GB2312"/>
          <w:b w:val="0"/>
          <w:bCs w:val="0"/>
          <w:color w:val="auto"/>
          <w:sz w:val="32"/>
          <w:szCs w:val="32"/>
          <w:lang w:val="en-US" w:eastAsia="zh-CN"/>
        </w:rPr>
        <w:t>经济</w:t>
      </w:r>
      <w:r>
        <w:rPr>
          <w:rFonts w:hint="eastAsia" w:ascii="仿宋_GB2312" w:hAnsi="仿宋_GB2312" w:eastAsia="仿宋_GB2312" w:cs="仿宋_GB2312"/>
          <w:b w:val="0"/>
          <w:bCs w:val="0"/>
          <w:color w:val="auto"/>
          <w:sz w:val="32"/>
          <w:szCs w:val="32"/>
        </w:rPr>
        <w:t>组织</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除法律法规另有规定外</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均可通过网上挂牌交易系统，申请参加电子挂牌交易活动，法律、法规另有规定的从其规定。</w:t>
      </w:r>
    </w:p>
    <w:p>
      <w:pPr>
        <w:keepNext w:val="0"/>
        <w:keepLines w:val="0"/>
        <w:pageBreakBefore w:val="0"/>
        <w:numPr>
          <w:ilvl w:val="0"/>
          <w:numId w:val="2"/>
        </w:numPr>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交纳足额竞买保证金；</w:t>
      </w:r>
    </w:p>
    <w:p>
      <w:pPr>
        <w:keepNext w:val="0"/>
        <w:keepLines w:val="0"/>
        <w:pageBreakBefore w:val="0"/>
        <w:numPr>
          <w:ilvl w:val="0"/>
          <w:numId w:val="2"/>
        </w:numPr>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存在下列行为之一的企业及其控股股东，不得参与竞买上述地块：</w:t>
      </w:r>
    </w:p>
    <w:p>
      <w:pPr>
        <w:keepNext w:val="0"/>
        <w:keepLines w:val="0"/>
        <w:pageBreakBefore w:val="0"/>
        <w:kinsoku/>
        <w:wordWrap/>
        <w:overflowPunct/>
        <w:topLinePunct w:val="0"/>
        <w:autoSpaceDE/>
        <w:autoSpaceDN/>
        <w:bidi w:val="0"/>
        <w:spacing w:line="240" w:lineRule="auto"/>
        <w:ind w:firstLine="627" w:firstLineChars="196"/>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1、存在伪造公文骗取用地和非法倒卖土地等犯罪行为的；</w:t>
      </w:r>
    </w:p>
    <w:p>
      <w:pPr>
        <w:keepNext w:val="0"/>
        <w:keepLines w:val="0"/>
        <w:pageBreakBefore w:val="0"/>
        <w:kinsoku/>
        <w:wordWrap/>
        <w:overflowPunct/>
        <w:topLinePunct w:val="0"/>
        <w:autoSpaceDE/>
        <w:autoSpaceDN/>
        <w:bidi w:val="0"/>
        <w:spacing w:line="240" w:lineRule="auto"/>
        <w:ind w:firstLine="627" w:firstLineChars="196"/>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2、存在非法转让土地使用权等违法行为的；</w:t>
      </w:r>
    </w:p>
    <w:p>
      <w:pPr>
        <w:keepNext w:val="0"/>
        <w:keepLines w:val="0"/>
        <w:pageBreakBefore w:val="0"/>
        <w:kinsoku/>
        <w:wordWrap/>
        <w:overflowPunct/>
        <w:topLinePunct w:val="0"/>
        <w:autoSpaceDE/>
        <w:autoSpaceDN/>
        <w:bidi w:val="0"/>
        <w:spacing w:line="240" w:lineRule="auto"/>
        <w:ind w:firstLine="627" w:firstLineChars="196"/>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3、因企业原因造成土地闲置一年以上且至报名日止未处罚完结的；</w:t>
      </w:r>
    </w:p>
    <w:p>
      <w:pPr>
        <w:keepNext w:val="0"/>
        <w:keepLines w:val="0"/>
        <w:pageBreakBefore w:val="0"/>
        <w:kinsoku/>
        <w:wordWrap/>
        <w:overflowPunct/>
        <w:topLinePunct w:val="0"/>
        <w:autoSpaceDE/>
        <w:autoSpaceDN/>
        <w:bidi w:val="0"/>
        <w:spacing w:line="240" w:lineRule="auto"/>
        <w:ind w:firstLine="627" w:firstLineChars="196"/>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4、开发建设企业有违背出让合同约定条件开发利用土地情形且至报名日止未处罚完结的；</w:t>
      </w:r>
    </w:p>
    <w:p>
      <w:pPr>
        <w:keepNext w:val="0"/>
        <w:keepLines w:val="0"/>
        <w:pageBreakBefore w:val="0"/>
        <w:kinsoku/>
        <w:wordWrap/>
        <w:overflowPunct/>
        <w:topLinePunct w:val="0"/>
        <w:autoSpaceDE/>
        <w:autoSpaceDN/>
        <w:bidi w:val="0"/>
        <w:spacing w:line="240" w:lineRule="auto"/>
        <w:ind w:firstLine="627" w:firstLineChars="196"/>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5、至报名日止仍拖欠政府地价款的;</w:t>
      </w:r>
    </w:p>
    <w:p>
      <w:pPr>
        <w:keepNext w:val="0"/>
        <w:keepLines w:val="0"/>
        <w:pageBreakBefore w:val="0"/>
        <w:kinsoku/>
        <w:wordWrap/>
        <w:overflowPunct/>
        <w:topLinePunct w:val="0"/>
        <w:autoSpaceDE/>
        <w:autoSpaceDN/>
        <w:bidi w:val="0"/>
        <w:spacing w:line="240" w:lineRule="auto"/>
        <w:ind w:firstLine="627" w:firstLineChars="196"/>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6、被列入问题楼盘开发企业黑名单的;</w:t>
      </w:r>
    </w:p>
    <w:p>
      <w:pPr>
        <w:keepNext w:val="0"/>
        <w:keepLines w:val="0"/>
        <w:pageBreakBefore w:val="0"/>
        <w:kinsoku/>
        <w:wordWrap/>
        <w:overflowPunct/>
        <w:topLinePunct w:val="0"/>
        <w:autoSpaceDE/>
        <w:autoSpaceDN/>
        <w:bidi w:val="0"/>
        <w:spacing w:line="240" w:lineRule="auto"/>
        <w:ind w:firstLine="627" w:firstLineChars="196"/>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7、存在其它被禁止竞买土地行为的。</w:t>
      </w:r>
    </w:p>
    <w:p>
      <w:pPr>
        <w:keepNext w:val="0"/>
        <w:keepLines w:val="0"/>
        <w:pageBreakBefore w:val="0"/>
        <w:kinsoku/>
        <w:wordWrap/>
        <w:overflowPunct/>
        <w:topLinePunct w:val="0"/>
        <w:autoSpaceDE/>
        <w:autoSpaceDN/>
        <w:bidi w:val="0"/>
        <w:spacing w:line="240" w:lineRule="auto"/>
        <w:ind w:firstLine="627" w:firstLineChars="196"/>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五、竞买保证金</w:t>
      </w:r>
    </w:p>
    <w:p>
      <w:pPr>
        <w:keepNext w:val="0"/>
        <w:keepLines w:val="0"/>
        <w:pageBreakBefore w:val="0"/>
        <w:kinsoku/>
        <w:wordWrap/>
        <w:overflowPunct/>
        <w:topLinePunct w:val="0"/>
        <w:autoSpaceDE/>
        <w:autoSpaceDN/>
        <w:bidi w:val="0"/>
        <w:spacing w:line="240" w:lineRule="auto"/>
        <w:ind w:firstLine="627" w:firstLineChars="196"/>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（一）该宗地竞买保证金为人民币285万元。</w:t>
      </w:r>
    </w:p>
    <w:p>
      <w:pPr>
        <w:keepNext w:val="0"/>
        <w:keepLines w:val="0"/>
        <w:pageBreakBefore w:val="0"/>
        <w:kinsoku/>
        <w:wordWrap/>
        <w:overflowPunct/>
        <w:topLinePunct w:val="0"/>
        <w:autoSpaceDE/>
        <w:autoSpaceDN/>
        <w:bidi w:val="0"/>
        <w:spacing w:line="240" w:lineRule="auto"/>
        <w:ind w:firstLine="627" w:firstLineChars="196"/>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该宗地竞买保证金亦可用外币（暂限于美元、港币）交纳。如以外币交纳竞买保证金的，须交纳美元46万元或港币354万元。</w:t>
      </w:r>
    </w:p>
    <w:p>
      <w:pPr>
        <w:keepNext w:val="0"/>
        <w:keepLines w:val="0"/>
        <w:pageBreakBefore w:val="0"/>
        <w:kinsoku/>
        <w:wordWrap/>
        <w:overflowPunct/>
        <w:topLinePunct w:val="0"/>
        <w:autoSpaceDE/>
        <w:autoSpaceDN/>
        <w:bidi w:val="0"/>
        <w:spacing w:line="240" w:lineRule="auto"/>
        <w:ind w:firstLine="627" w:firstLineChars="196"/>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申请人应当在网上挂牌出让竞买保证金到账截止时间前登录惠州市公共资源交易</w:t>
      </w:r>
      <w:r>
        <w:rPr>
          <w:rFonts w:hint="eastAsia" w:ascii="仿宋_GB2312" w:hAnsi="仿宋_GB2312" w:eastAsia="仿宋_GB2312" w:cs="仿宋_GB2312"/>
          <w:b w:val="0"/>
          <w:bCs w:val="0"/>
          <w:color w:val="auto"/>
          <w:kern w:val="2"/>
          <w:sz w:val="32"/>
          <w:szCs w:val="32"/>
          <w:lang w:val="en-US" w:eastAsia="zh-CN" w:bidi="ar-SA"/>
        </w:rPr>
        <w:t>中心（以下简称“交易中心”）土地与矿业网上挂牌交易系统（以下简称“网上挂牌交易系统”）获取竞买保证金支付账号。</w:t>
      </w:r>
    </w:p>
    <w:p>
      <w:pPr>
        <w:keepNext w:val="0"/>
        <w:keepLines w:val="0"/>
        <w:pageBreakBefore w:val="0"/>
        <w:numPr>
          <w:ilvl w:val="0"/>
          <w:numId w:val="3"/>
        </w:numPr>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kern w:val="2"/>
          <w:sz w:val="32"/>
          <w:szCs w:val="32"/>
          <w:lang w:val="en-US" w:eastAsia="zh-CN" w:bidi="ar-SA"/>
        </w:rPr>
        <w:t>竞买保证金到账时间以网上挂牌交</w:t>
      </w:r>
      <w:r>
        <w:rPr>
          <w:rFonts w:hint="eastAsia" w:ascii="仿宋_GB2312" w:hAnsi="仿宋_GB2312" w:eastAsia="仿宋_GB2312" w:cs="仿宋_GB2312"/>
          <w:b w:val="0"/>
          <w:bCs w:val="0"/>
          <w:color w:val="auto"/>
          <w:sz w:val="32"/>
          <w:szCs w:val="32"/>
        </w:rPr>
        <w:t>易系统确认并发出《保证金到账通知书》为准。</w:t>
      </w:r>
    </w:p>
    <w:p>
      <w:pPr>
        <w:keepNext w:val="0"/>
        <w:keepLines w:val="0"/>
        <w:pageBreakBefore w:val="0"/>
        <w:numPr>
          <w:ilvl w:val="0"/>
          <w:numId w:val="0"/>
        </w:numPr>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eastAsia="zh-CN"/>
        </w:rPr>
        <w:t>六、</w:t>
      </w:r>
      <w:r>
        <w:rPr>
          <w:rFonts w:hint="eastAsia" w:ascii="仿宋_GB2312" w:hAnsi="仿宋_GB2312" w:eastAsia="仿宋_GB2312" w:cs="仿宋_GB2312"/>
          <w:b w:val="0"/>
          <w:bCs w:val="0"/>
          <w:color w:val="auto"/>
          <w:sz w:val="32"/>
          <w:szCs w:val="32"/>
        </w:rPr>
        <w:t>竞买申请</w:t>
      </w:r>
    </w:p>
    <w:p>
      <w:pPr>
        <w:keepNext w:val="0"/>
        <w:keepLines w:val="0"/>
        <w:pageBreakBefore w:val="0"/>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本宗国有建设用地使用权网上挂牌出让只接受网上竞买申请，即通过网上挂牌交易系统进行，不接受电话、邮寄、书面、电子邮件及口头竞买。凡办理数字证书、按要求足额交纳竞买保证金的申请人，方可参加网上挂牌交易活动。</w:t>
      </w:r>
    </w:p>
    <w:p>
      <w:pPr>
        <w:keepNext w:val="0"/>
        <w:keepLines w:val="0"/>
        <w:pageBreakBefore w:val="0"/>
        <w:kinsoku/>
        <w:wordWrap/>
        <w:overflowPunct/>
        <w:topLinePunct w:val="0"/>
        <w:autoSpaceDE/>
        <w:autoSpaceDN/>
        <w:bidi w:val="0"/>
        <w:spacing w:line="240" w:lineRule="auto"/>
        <w:ind w:firstLine="627" w:firstLineChars="196"/>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rPr>
        <w:t>可以单独申请，也可以联合申请</w:t>
      </w:r>
      <w:r>
        <w:rPr>
          <w:rFonts w:hint="eastAsia" w:ascii="仿宋_GB2312" w:hAnsi="仿宋_GB2312" w:eastAsia="仿宋_GB2312" w:cs="仿宋_GB2312"/>
          <w:b w:val="0"/>
          <w:bCs w:val="0"/>
          <w:color w:val="auto"/>
          <w:sz w:val="32"/>
          <w:szCs w:val="32"/>
          <w:lang w:eastAsia="zh-CN"/>
        </w:rPr>
        <w:t>：</w:t>
      </w:r>
    </w:p>
    <w:p>
      <w:pPr>
        <w:keepNext w:val="0"/>
        <w:keepLines w:val="0"/>
        <w:pageBreakBefore w:val="0"/>
        <w:kinsoku/>
        <w:wordWrap/>
        <w:overflowPunct/>
        <w:topLinePunct w:val="0"/>
        <w:autoSpaceDE/>
        <w:autoSpaceDN/>
        <w:bidi w:val="0"/>
        <w:spacing w:line="240" w:lineRule="auto"/>
        <w:ind w:firstLine="627" w:firstLineChars="196"/>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（一）</w:t>
      </w:r>
      <w:r>
        <w:rPr>
          <w:rFonts w:hint="eastAsia" w:ascii="仿宋_GB2312" w:hAnsi="仿宋_GB2312" w:eastAsia="仿宋_GB2312" w:cs="仿宋_GB2312"/>
          <w:color w:val="auto"/>
          <w:sz w:val="32"/>
          <w:szCs w:val="32"/>
        </w:rPr>
        <w:t>单独申请竞买的，竞买申请人为非本市注册登记的企业，在竞得土地后，必须于2个月内在本市工商行政管理部门注册成立项目开发公司，并以该公司名义办理土地出让与登记发证手续。新成立公司必须是竞得人的全资子公司，即新公司的股东必须100%是竞买申请企业作为法人的股东。根据挂牌出让结果，可先与竞得人签订《出让合同》，在竞得人按约定办理完新公司注册登记手续后，再与新公司签订国有建设用地使用权出让合同补充条款；也可按约定直接与新公司签订《出让合同》。</w:t>
      </w:r>
    </w:p>
    <w:p>
      <w:pPr>
        <w:keepNext w:val="0"/>
        <w:keepLines w:val="0"/>
        <w:pageBreakBefore w:val="0"/>
        <w:kinsoku/>
        <w:wordWrap/>
        <w:overflowPunct/>
        <w:topLinePunct w:val="0"/>
        <w:autoSpaceDE/>
        <w:autoSpaceDN/>
        <w:bidi w:val="0"/>
        <w:spacing w:line="240" w:lineRule="auto"/>
        <w:ind w:firstLine="627" w:firstLineChars="196"/>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color w:val="auto"/>
          <w:sz w:val="32"/>
          <w:szCs w:val="32"/>
          <w:lang w:val="en-US" w:eastAsia="zh-CN"/>
        </w:rPr>
        <w:t>（二）</w:t>
      </w:r>
      <w:r>
        <w:rPr>
          <w:rFonts w:hint="eastAsia" w:ascii="仿宋_GB2312" w:hAnsi="仿宋_GB2312" w:eastAsia="仿宋_GB2312" w:cs="仿宋_GB2312"/>
          <w:color w:val="auto"/>
          <w:sz w:val="32"/>
          <w:szCs w:val="32"/>
        </w:rPr>
        <w:t>联合申请竞买的，联合竞买人在提交竞买申请材料时，须提交一份联合竞买申请书和协议，协议主要规定联合各方的权利和义务、参与竞买的代表人、联合各方的出资比例等。联合竞买申请人竞得土地后须于2个月内在本市工商行政管理部门按照申请书申报的出资人及出资比例设立新公司。根据挂牌出让结果，可先与竞得人签订《出让合同》，在竞得人按约定办理完新公司注册登记手续后，再与新公司签订国有建设用地使用权出让合同补充条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也可按约定直接与新公司签订《出让合同》</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并以新公司名义办理土地登记发证手续，不能按联合申请人各自出资比例分割办证。如对联合竞买申请人的开发资质条件有明确要求的，在审查联合竞买申请人资质时，以联合体内资质最低一方的资质确定竞买资格条件。</w:t>
      </w:r>
    </w:p>
    <w:p>
      <w:pPr>
        <w:pStyle w:val="2"/>
        <w:keepNext w:val="0"/>
        <w:keepLines w:val="0"/>
        <w:pageBreakBefore w:val="0"/>
        <w:kinsoku/>
        <w:wordWrap/>
        <w:overflowPunct/>
        <w:topLinePunct w:val="0"/>
        <w:autoSpaceDE/>
        <w:autoSpaceDN/>
        <w:bidi w:val="0"/>
        <w:spacing w:line="240" w:lineRule="auto"/>
        <w:ind w:firstLine="579" w:firstLineChars="181"/>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本宗国有建设用地使用权网上挂牌出让实行竞买资格后置审查。竞买申请人交纳足额竞买保证金即获得竞买报价权限。</w:t>
      </w:r>
    </w:p>
    <w:p>
      <w:pPr>
        <w:pStyle w:val="2"/>
        <w:keepNext w:val="0"/>
        <w:keepLines w:val="0"/>
        <w:pageBreakBefore w:val="0"/>
        <w:kinsoku/>
        <w:wordWrap/>
        <w:overflowPunct/>
        <w:topLinePunct w:val="0"/>
        <w:autoSpaceDE/>
        <w:autoSpaceDN/>
        <w:bidi w:val="0"/>
        <w:spacing w:line="240" w:lineRule="auto"/>
        <w:ind w:firstLine="579" w:firstLineChars="181"/>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七、竞买人电子报价及电子限时竞价</w:t>
      </w:r>
    </w:p>
    <w:p>
      <w:pPr>
        <w:pStyle w:val="2"/>
        <w:keepNext w:val="0"/>
        <w:keepLines w:val="0"/>
        <w:pageBreakBefore w:val="0"/>
        <w:kinsoku/>
        <w:wordWrap/>
        <w:overflowPunct/>
        <w:topLinePunct w:val="0"/>
        <w:autoSpaceDE/>
        <w:autoSpaceDN/>
        <w:bidi w:val="0"/>
        <w:spacing w:line="240" w:lineRule="auto"/>
        <w:ind w:firstLine="579" w:firstLineChars="181"/>
        <w:textAlignment w:val="auto"/>
        <w:rPr>
          <w:rFonts w:hint="eastAsia" w:ascii="仿宋_GB2312" w:hAnsi="仿宋_GB2312" w:eastAsia="仿宋_GB2312" w:cs="仿宋_GB2312"/>
          <w:b w:val="0"/>
          <w:bCs w:val="0"/>
          <w:color w:val="auto"/>
          <w:kern w:val="0"/>
          <w:sz w:val="32"/>
          <w:szCs w:val="32"/>
        </w:rPr>
      </w:pPr>
      <w:r>
        <w:rPr>
          <w:rFonts w:hint="eastAsia" w:ascii="仿宋_GB2312" w:hAnsi="仿宋_GB2312" w:eastAsia="仿宋_GB2312" w:cs="仿宋_GB2312"/>
          <w:b w:val="0"/>
          <w:bCs w:val="0"/>
          <w:color w:val="auto"/>
          <w:sz w:val="32"/>
          <w:szCs w:val="32"/>
        </w:rPr>
        <w:t>竞买人须详细阅读本宗地网上挂牌出让公告、竞买须知及网上挂牌交易系统操作指南，熟练操作网上挂牌交易系统，按竞买规则进行电子报价及电子限时竞价。</w:t>
      </w:r>
    </w:p>
    <w:p>
      <w:pPr>
        <w:pStyle w:val="2"/>
        <w:keepNext w:val="0"/>
        <w:keepLines w:val="0"/>
        <w:pageBreakBefore w:val="0"/>
        <w:kinsoku/>
        <w:wordWrap/>
        <w:overflowPunct/>
        <w:topLinePunct w:val="0"/>
        <w:autoSpaceDE/>
        <w:autoSpaceDN/>
        <w:bidi w:val="0"/>
        <w:spacing w:line="240" w:lineRule="auto"/>
        <w:ind w:firstLine="579" w:firstLineChars="181"/>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八、确定成交候选人</w:t>
      </w:r>
    </w:p>
    <w:p>
      <w:pPr>
        <w:pStyle w:val="2"/>
        <w:keepNext w:val="0"/>
        <w:keepLines w:val="0"/>
        <w:pageBreakBefore w:val="0"/>
        <w:kinsoku/>
        <w:wordWrap/>
        <w:overflowPunct/>
        <w:topLinePunct w:val="0"/>
        <w:autoSpaceDE/>
        <w:autoSpaceDN/>
        <w:bidi w:val="0"/>
        <w:spacing w:line="240" w:lineRule="auto"/>
        <w:ind w:firstLine="579" w:firstLineChars="181"/>
        <w:textAlignment w:val="auto"/>
        <w:rPr>
          <w:rFonts w:hint="default"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rPr>
        <w:t>本</w:t>
      </w:r>
      <w:r>
        <w:rPr>
          <w:rFonts w:hint="eastAsia" w:ascii="仿宋_GB2312" w:hAnsi="仿宋_GB2312" w:eastAsia="仿宋_GB2312" w:cs="仿宋_GB2312"/>
          <w:b w:val="0"/>
          <w:bCs w:val="0"/>
          <w:color w:val="auto"/>
          <w:sz w:val="32"/>
          <w:szCs w:val="32"/>
          <w:highlight w:val="none"/>
          <w:lang w:eastAsia="zh-CN"/>
        </w:rPr>
        <w:t>宗</w:t>
      </w:r>
      <w:r>
        <w:rPr>
          <w:rFonts w:hint="eastAsia" w:ascii="仿宋_GB2312" w:hAnsi="仿宋_GB2312" w:eastAsia="仿宋_GB2312" w:cs="仿宋_GB2312"/>
          <w:b w:val="0"/>
          <w:bCs w:val="0"/>
          <w:color w:val="auto"/>
          <w:sz w:val="32"/>
          <w:szCs w:val="32"/>
          <w:highlight w:val="none"/>
        </w:rPr>
        <w:t>国有建设用地使用权网上挂牌出让为无底价挂牌，</w:t>
      </w:r>
      <w:r>
        <w:rPr>
          <w:rFonts w:hint="eastAsia" w:ascii="仿宋_GB2312" w:hAnsi="仿宋_GB2312" w:eastAsia="仿宋_GB2312" w:cs="仿宋_GB2312"/>
          <w:b w:val="0"/>
          <w:bCs w:val="0"/>
          <w:color w:val="auto"/>
          <w:sz w:val="32"/>
          <w:szCs w:val="32"/>
          <w:highlight w:val="none"/>
          <w:lang w:val="en-US" w:eastAsia="zh-CN"/>
        </w:rPr>
        <w:t>按照价高者得的原则确定成交候选人。</w:t>
      </w:r>
    </w:p>
    <w:p>
      <w:pPr>
        <w:pStyle w:val="2"/>
        <w:ind w:firstLine="579" w:firstLineChars="181"/>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九、资格审查</w:t>
      </w:r>
    </w:p>
    <w:p>
      <w:pPr>
        <w:pStyle w:val="2"/>
        <w:ind w:firstLine="579" w:firstLineChars="181"/>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成交候选人应在网上挂牌交易系统确定成交候选人之日起</w:t>
      </w:r>
      <w:r>
        <w:rPr>
          <w:rFonts w:hint="eastAsia" w:ascii="仿宋_GB2312" w:hAnsi="仿宋_GB2312" w:eastAsia="仿宋_GB2312" w:cs="仿宋_GB2312"/>
          <w:b w:val="0"/>
          <w:bCs w:val="0"/>
          <w:color w:val="auto"/>
          <w:sz w:val="32"/>
          <w:szCs w:val="32"/>
          <w:u w:val="single"/>
          <w:lang w:val="en-US" w:eastAsia="zh-CN"/>
        </w:rPr>
        <w:t xml:space="preserve"> 2 </w:t>
      </w:r>
      <w:r>
        <w:rPr>
          <w:rFonts w:hint="eastAsia" w:ascii="仿宋_GB2312" w:hAnsi="仿宋_GB2312" w:eastAsia="仿宋_GB2312" w:cs="仿宋_GB2312"/>
          <w:b w:val="0"/>
          <w:bCs w:val="0"/>
          <w:color w:val="auto"/>
          <w:sz w:val="32"/>
          <w:szCs w:val="32"/>
        </w:rPr>
        <w:t>个工作日内将竞买申请纸质材料提交至我局，由我局对竞买资格进行审查。我局将于</w:t>
      </w:r>
      <w:r>
        <w:rPr>
          <w:rFonts w:hint="eastAsia" w:ascii="仿宋_GB2312" w:hAnsi="仿宋_GB2312" w:eastAsia="仿宋_GB2312" w:cs="仿宋_GB2312"/>
          <w:b w:val="0"/>
          <w:bCs w:val="0"/>
          <w:color w:val="auto"/>
          <w:sz w:val="32"/>
          <w:szCs w:val="32"/>
          <w:u w:val="single"/>
          <w:lang w:val="en-US" w:eastAsia="zh-CN"/>
        </w:rPr>
        <w:t xml:space="preserve"> 2022 </w:t>
      </w:r>
      <w:r>
        <w:rPr>
          <w:rFonts w:hint="eastAsia" w:ascii="仿宋_GB2312" w:hAnsi="仿宋_GB2312" w:eastAsia="仿宋_GB2312" w:cs="仿宋_GB2312"/>
          <w:b w:val="0"/>
          <w:bCs w:val="0"/>
          <w:color w:val="auto"/>
          <w:sz w:val="32"/>
          <w:szCs w:val="32"/>
          <w:highlight w:val="none"/>
          <w:u w:val="single"/>
          <w:lang w:val="en-US" w:eastAsia="zh-CN"/>
        </w:rPr>
        <w:t xml:space="preserve"> </w:t>
      </w:r>
      <w:r>
        <w:rPr>
          <w:rFonts w:hint="eastAsia" w:ascii="仿宋_GB2312" w:hAnsi="仿宋_GB2312" w:eastAsia="仿宋_GB2312" w:cs="仿宋_GB2312"/>
          <w:b w:val="0"/>
          <w:bCs w:val="0"/>
          <w:color w:val="auto"/>
          <w:sz w:val="32"/>
          <w:szCs w:val="32"/>
          <w:highlight w:val="none"/>
        </w:rPr>
        <w:t>年</w:t>
      </w:r>
      <w:r>
        <w:rPr>
          <w:rFonts w:hint="eastAsia" w:ascii="仿宋_GB2312" w:hAnsi="仿宋_GB2312" w:eastAsia="仿宋_GB2312" w:cs="仿宋_GB2312"/>
          <w:b w:val="0"/>
          <w:bCs w:val="0"/>
          <w:color w:val="auto"/>
          <w:sz w:val="32"/>
          <w:szCs w:val="32"/>
          <w:highlight w:val="none"/>
          <w:u w:val="single"/>
          <w:lang w:val="en-US" w:eastAsia="zh-CN"/>
        </w:rPr>
        <w:t xml:space="preserve">  10 </w:t>
      </w:r>
      <w:r>
        <w:rPr>
          <w:rFonts w:hint="eastAsia" w:ascii="仿宋_GB2312" w:hAnsi="仿宋_GB2312" w:eastAsia="仿宋_GB2312" w:cs="仿宋_GB2312"/>
          <w:b w:val="0"/>
          <w:bCs w:val="0"/>
          <w:color w:val="auto"/>
          <w:sz w:val="32"/>
          <w:szCs w:val="32"/>
          <w:highlight w:val="none"/>
        </w:rPr>
        <w:t>月</w:t>
      </w:r>
      <w:r>
        <w:rPr>
          <w:rFonts w:hint="eastAsia" w:ascii="仿宋_GB2312" w:hAnsi="仿宋_GB2312" w:eastAsia="仿宋_GB2312" w:cs="仿宋_GB2312"/>
          <w:b w:val="0"/>
          <w:bCs w:val="0"/>
          <w:color w:val="auto"/>
          <w:sz w:val="32"/>
          <w:szCs w:val="32"/>
          <w:highlight w:val="none"/>
          <w:u w:val="single"/>
          <w:lang w:val="en-US" w:eastAsia="zh-CN"/>
        </w:rPr>
        <w:t xml:space="preserve">  26 </w:t>
      </w:r>
      <w:r>
        <w:rPr>
          <w:rFonts w:hint="eastAsia" w:ascii="仿宋_GB2312" w:hAnsi="仿宋_GB2312" w:eastAsia="仿宋_GB2312" w:cs="仿宋_GB2312"/>
          <w:b w:val="0"/>
          <w:bCs w:val="0"/>
          <w:color w:val="auto"/>
          <w:sz w:val="32"/>
          <w:szCs w:val="32"/>
        </w:rPr>
        <w:t>日前确定符合竞买资格的成交候选人为竞得人。</w:t>
      </w:r>
    </w:p>
    <w:p>
      <w:pPr>
        <w:keepNext w:val="0"/>
        <w:keepLines w:val="0"/>
        <w:pageBreakBefore w:val="0"/>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成交候选人资格审查须提交下列材料：</w:t>
      </w:r>
    </w:p>
    <w:p>
      <w:pPr>
        <w:pStyle w:val="12"/>
        <w:keepNext w:val="0"/>
        <w:keepLines w:val="0"/>
        <w:pageBreakBefore w:val="0"/>
        <w:widowControl/>
        <w:numPr>
          <w:ilvl w:val="0"/>
          <w:numId w:val="4"/>
        </w:numPr>
        <w:kinsoku/>
        <w:wordWrap/>
        <w:overflowPunct/>
        <w:topLinePunct w:val="0"/>
        <w:autoSpaceDE/>
        <w:autoSpaceDN/>
        <w:bidi w:val="0"/>
        <w:spacing w:line="240" w:lineRule="auto"/>
        <w:ind w:firstLine="675" w:firstLineChars="211"/>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《竞买申请书》（加盖公章）；</w:t>
      </w:r>
    </w:p>
    <w:p>
      <w:pPr>
        <w:pStyle w:val="12"/>
        <w:keepNext w:val="0"/>
        <w:keepLines w:val="0"/>
        <w:pageBreakBefore w:val="0"/>
        <w:widowControl/>
        <w:numPr>
          <w:ilvl w:val="0"/>
          <w:numId w:val="4"/>
        </w:numPr>
        <w:kinsoku/>
        <w:wordWrap/>
        <w:overflowPunct/>
        <w:topLinePunct w:val="0"/>
        <w:autoSpaceDE/>
        <w:autoSpaceDN/>
        <w:bidi w:val="0"/>
        <w:spacing w:line="240" w:lineRule="auto"/>
        <w:ind w:firstLine="675" w:firstLineChars="211"/>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《竞价结果通知书》（加盖公章）；</w:t>
      </w:r>
    </w:p>
    <w:p>
      <w:pPr>
        <w:pStyle w:val="12"/>
        <w:keepNext w:val="0"/>
        <w:keepLines w:val="0"/>
        <w:pageBreakBefore w:val="0"/>
        <w:widowControl/>
        <w:numPr>
          <w:ilvl w:val="0"/>
          <w:numId w:val="4"/>
        </w:numPr>
        <w:kinsoku/>
        <w:wordWrap/>
        <w:overflowPunct/>
        <w:topLinePunct w:val="0"/>
        <w:autoSpaceDE/>
        <w:autoSpaceDN/>
        <w:bidi w:val="0"/>
        <w:spacing w:line="240" w:lineRule="auto"/>
        <w:ind w:firstLine="675" w:firstLineChars="211"/>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《竞买保证金到账通知书》（加盖公章）；</w:t>
      </w:r>
    </w:p>
    <w:p>
      <w:pPr>
        <w:pStyle w:val="12"/>
        <w:keepNext w:val="0"/>
        <w:keepLines w:val="0"/>
        <w:pageBreakBefore w:val="0"/>
        <w:widowControl/>
        <w:numPr>
          <w:ilvl w:val="0"/>
          <w:numId w:val="4"/>
        </w:numPr>
        <w:kinsoku/>
        <w:wordWrap/>
        <w:overflowPunct/>
        <w:topLinePunct w:val="0"/>
        <w:autoSpaceDE/>
        <w:autoSpaceDN/>
        <w:bidi w:val="0"/>
        <w:spacing w:line="240" w:lineRule="auto"/>
        <w:ind w:firstLine="675" w:firstLineChars="211"/>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竞买保证金转账凭证复印件（加盖公章）；</w:t>
      </w:r>
    </w:p>
    <w:p>
      <w:pPr>
        <w:pStyle w:val="12"/>
        <w:keepNext w:val="0"/>
        <w:keepLines w:val="0"/>
        <w:pageBreakBefore w:val="0"/>
        <w:widowControl/>
        <w:numPr>
          <w:ilvl w:val="0"/>
          <w:numId w:val="4"/>
        </w:numPr>
        <w:kinsoku/>
        <w:wordWrap/>
        <w:overflowPunct/>
        <w:topLinePunct w:val="0"/>
        <w:autoSpaceDE/>
        <w:autoSpaceDN/>
        <w:bidi w:val="0"/>
        <w:spacing w:line="240" w:lineRule="auto"/>
        <w:ind w:firstLine="675" w:firstLineChars="211"/>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申请竞买人有效的《营业执照》复印件（加盖公章）；</w:t>
      </w:r>
    </w:p>
    <w:p>
      <w:pPr>
        <w:pStyle w:val="12"/>
        <w:keepNext w:val="0"/>
        <w:keepLines w:val="0"/>
        <w:pageBreakBefore w:val="0"/>
        <w:widowControl/>
        <w:numPr>
          <w:ilvl w:val="0"/>
          <w:numId w:val="4"/>
        </w:numPr>
        <w:kinsoku/>
        <w:wordWrap/>
        <w:overflowPunct/>
        <w:topLinePunct w:val="0"/>
        <w:autoSpaceDE/>
        <w:autoSpaceDN/>
        <w:bidi w:val="0"/>
        <w:spacing w:line="240" w:lineRule="auto"/>
        <w:ind w:firstLine="675" w:firstLineChars="211"/>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法定代表人身份证复印件（加盖公章）；</w:t>
      </w:r>
    </w:p>
    <w:p>
      <w:pPr>
        <w:pStyle w:val="12"/>
        <w:keepNext w:val="0"/>
        <w:keepLines w:val="0"/>
        <w:pageBreakBefore w:val="0"/>
        <w:widowControl/>
        <w:numPr>
          <w:ilvl w:val="0"/>
          <w:numId w:val="4"/>
        </w:numPr>
        <w:kinsoku/>
        <w:wordWrap/>
        <w:overflowPunct/>
        <w:topLinePunct w:val="0"/>
        <w:autoSpaceDE/>
        <w:autoSpaceDN/>
        <w:bidi w:val="0"/>
        <w:spacing w:line="240" w:lineRule="auto"/>
        <w:ind w:firstLine="675" w:firstLineChars="211"/>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授权他人代理的授权委托书及代理人身份证复印件（核对原件）；</w:t>
      </w:r>
    </w:p>
    <w:p>
      <w:pPr>
        <w:pStyle w:val="12"/>
        <w:keepNext w:val="0"/>
        <w:keepLines w:val="0"/>
        <w:pageBreakBefore w:val="0"/>
        <w:widowControl/>
        <w:numPr>
          <w:ilvl w:val="0"/>
          <w:numId w:val="4"/>
        </w:numPr>
        <w:kinsoku/>
        <w:wordWrap/>
        <w:overflowPunct/>
        <w:topLinePunct w:val="0"/>
        <w:autoSpaceDE/>
        <w:autoSpaceDN/>
        <w:bidi w:val="0"/>
        <w:spacing w:line="240" w:lineRule="auto"/>
        <w:ind w:firstLine="675" w:firstLineChars="211"/>
        <w:textAlignment w:val="auto"/>
        <w:rPr>
          <w:rFonts w:hint="eastAsia"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rPr>
        <w:t>联合竞买协议</w:t>
      </w:r>
      <w:r>
        <w:rPr>
          <w:rFonts w:hint="eastAsia" w:ascii="仿宋_GB2312" w:hAnsi="仿宋_GB2312" w:eastAsia="仿宋_GB2312" w:cs="仿宋_GB2312"/>
          <w:b w:val="0"/>
          <w:bCs w:val="0"/>
          <w:color w:val="auto"/>
          <w:kern w:val="2"/>
          <w:sz w:val="32"/>
          <w:szCs w:val="32"/>
          <w:lang w:val="en-US" w:eastAsia="zh-CN"/>
        </w:rPr>
        <w:t>；</w:t>
      </w:r>
    </w:p>
    <w:p>
      <w:pPr>
        <w:pStyle w:val="12"/>
        <w:keepNext w:val="0"/>
        <w:keepLines w:val="0"/>
        <w:pageBreakBefore w:val="0"/>
        <w:widowControl/>
        <w:numPr>
          <w:ilvl w:val="0"/>
          <w:numId w:val="4"/>
        </w:numPr>
        <w:kinsoku/>
        <w:wordWrap/>
        <w:overflowPunct/>
        <w:topLinePunct w:val="0"/>
        <w:autoSpaceDE/>
        <w:autoSpaceDN/>
        <w:bidi w:val="0"/>
        <w:spacing w:line="240" w:lineRule="auto"/>
        <w:ind w:firstLine="675" w:firstLineChars="211"/>
        <w:textAlignment w:val="auto"/>
        <w:rPr>
          <w:rFonts w:hint="eastAsia"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竞买人及其控股股东不存在违法、违规、违约行为的承诺书；</w:t>
      </w:r>
    </w:p>
    <w:p>
      <w:pPr>
        <w:pStyle w:val="12"/>
        <w:keepNext w:val="0"/>
        <w:keepLines w:val="0"/>
        <w:pageBreakBefore w:val="0"/>
        <w:widowControl/>
        <w:numPr>
          <w:ilvl w:val="0"/>
          <w:numId w:val="4"/>
        </w:numPr>
        <w:kinsoku/>
        <w:wordWrap/>
        <w:overflowPunct/>
        <w:topLinePunct w:val="0"/>
        <w:autoSpaceDE/>
        <w:autoSpaceDN/>
        <w:bidi w:val="0"/>
        <w:spacing w:line="240" w:lineRule="auto"/>
        <w:ind w:firstLine="675" w:firstLineChars="211"/>
        <w:textAlignment w:val="auto"/>
        <w:rPr>
          <w:rFonts w:hint="eastAsia"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其他</w:t>
      </w:r>
      <w:r>
        <w:rPr>
          <w:rFonts w:hint="eastAsia" w:ascii="仿宋_GB2312" w:hAnsi="仿宋_GB2312" w:eastAsia="仿宋_GB2312" w:cs="仿宋_GB2312"/>
          <w:b w:val="0"/>
          <w:bCs w:val="0"/>
          <w:color w:val="auto"/>
          <w:sz w:val="32"/>
          <w:szCs w:val="32"/>
        </w:rPr>
        <w:t>资格审查</w:t>
      </w:r>
      <w:r>
        <w:rPr>
          <w:rFonts w:hint="eastAsia" w:ascii="仿宋_GB2312" w:hAnsi="仿宋_GB2312" w:eastAsia="仿宋_GB2312" w:cs="仿宋_GB2312"/>
          <w:b w:val="0"/>
          <w:bCs w:val="0"/>
          <w:color w:val="auto"/>
          <w:sz w:val="32"/>
          <w:szCs w:val="32"/>
          <w:lang w:val="en-US" w:eastAsia="zh-CN"/>
        </w:rPr>
        <w:t>需要提供的材料。</w:t>
      </w:r>
      <w:r>
        <w:rPr>
          <w:rFonts w:hint="eastAsia" w:ascii="仿宋_GB2312" w:hAnsi="仿宋_GB2312" w:eastAsia="仿宋_GB2312" w:cs="仿宋_GB2312"/>
          <w:b w:val="0"/>
          <w:bCs w:val="0"/>
          <w:color w:val="auto"/>
          <w:kern w:val="2"/>
          <w:sz w:val="32"/>
          <w:szCs w:val="32"/>
        </w:rPr>
        <w:t xml:space="preserve">    </w:t>
      </w:r>
      <w:r>
        <w:rPr>
          <w:rFonts w:hint="eastAsia" w:ascii="宋体" w:hAnsi="宋体"/>
          <w:color w:val="auto"/>
          <w:sz w:val="28"/>
          <w:szCs w:val="28"/>
        </w:rPr>
        <w:t xml:space="preserve">       </w:t>
      </w:r>
    </w:p>
    <w:p>
      <w:pPr>
        <w:spacing w:line="560" w:lineRule="exact"/>
        <w:ind w:firstLine="555"/>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十、签订交易成交确认书及出让合同</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b w:val="0"/>
          <w:bCs w:val="0"/>
          <w:color w:val="auto"/>
          <w:sz w:val="32"/>
          <w:szCs w:val="32"/>
          <w:lang w:val="en-US"/>
        </w:rPr>
      </w:pPr>
      <w:r>
        <w:rPr>
          <w:rFonts w:hint="eastAsia" w:ascii="仿宋_GB2312" w:hAnsi="仿宋_GB2312" w:eastAsia="仿宋_GB2312" w:cs="仿宋_GB2312"/>
          <w:b w:val="0"/>
          <w:bCs w:val="0"/>
          <w:color w:val="auto"/>
          <w:sz w:val="32"/>
          <w:szCs w:val="32"/>
        </w:rPr>
        <w:t>竞得人应在接到竞得人确定通知之日起</w:t>
      </w:r>
      <w:r>
        <w:rPr>
          <w:rFonts w:hint="eastAsia" w:ascii="仿宋_GB2312" w:hAnsi="仿宋_GB2312" w:eastAsia="仿宋_GB2312" w:cs="仿宋_GB2312"/>
          <w:b w:val="0"/>
          <w:bCs w:val="0"/>
          <w:color w:val="auto"/>
          <w:sz w:val="32"/>
          <w:szCs w:val="32"/>
          <w:u w:val="single"/>
          <w:lang w:val="en-US" w:eastAsia="zh-CN"/>
        </w:rPr>
        <w:t xml:space="preserve"> 5 </w:t>
      </w:r>
      <w:r>
        <w:rPr>
          <w:rFonts w:hint="eastAsia" w:ascii="仿宋_GB2312" w:hAnsi="仿宋_GB2312" w:eastAsia="仿宋_GB2312" w:cs="仿宋_GB2312"/>
          <w:b w:val="0"/>
          <w:bCs w:val="0"/>
          <w:color w:val="auto"/>
          <w:sz w:val="32"/>
          <w:szCs w:val="32"/>
        </w:rPr>
        <w:t>个工作日内</w:t>
      </w:r>
      <w:r>
        <w:rPr>
          <w:rFonts w:hint="eastAsia" w:ascii="仿宋_GB2312" w:hAnsi="仿宋_GB2312" w:eastAsia="仿宋_GB2312" w:cs="仿宋_GB2312"/>
          <w:b w:val="0"/>
          <w:bCs w:val="0"/>
          <w:color w:val="auto"/>
          <w:sz w:val="32"/>
          <w:szCs w:val="32"/>
          <w:lang w:eastAsia="zh-CN"/>
        </w:rPr>
        <w:t>与我局、交易中心</w:t>
      </w:r>
      <w:r>
        <w:rPr>
          <w:rFonts w:hint="eastAsia" w:ascii="仿宋_GB2312" w:hAnsi="仿宋_GB2312" w:eastAsia="仿宋_GB2312" w:cs="仿宋_GB2312"/>
          <w:b w:val="0"/>
          <w:bCs w:val="0"/>
          <w:color w:val="auto"/>
          <w:sz w:val="32"/>
          <w:szCs w:val="32"/>
        </w:rPr>
        <w:t>签订《成交确认书》，在签订《成交确认书》之日起</w:t>
      </w:r>
      <w:r>
        <w:rPr>
          <w:rFonts w:hint="eastAsia" w:ascii="仿宋_GB2312" w:hAnsi="仿宋_GB2312" w:eastAsia="仿宋_GB2312" w:cs="仿宋_GB2312"/>
          <w:b w:val="0"/>
          <w:bCs w:val="0"/>
          <w:color w:val="auto"/>
          <w:sz w:val="32"/>
          <w:szCs w:val="32"/>
          <w:u w:val="single"/>
          <w:lang w:val="en-US" w:eastAsia="zh-CN"/>
        </w:rPr>
        <w:t xml:space="preserve"> 5 </w:t>
      </w:r>
      <w:r>
        <w:rPr>
          <w:rFonts w:hint="eastAsia" w:ascii="仿宋_GB2312" w:hAnsi="仿宋_GB2312" w:eastAsia="仿宋_GB2312" w:cs="仿宋_GB2312"/>
          <w:b w:val="0"/>
          <w:bCs w:val="0"/>
          <w:color w:val="auto"/>
          <w:sz w:val="32"/>
          <w:szCs w:val="32"/>
        </w:rPr>
        <w:t>个工作日内与我局签订《国有建设用地使用权出让合同》</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以下简称《出让合同》。</w:t>
      </w:r>
    </w:p>
    <w:p>
      <w:pPr>
        <w:keepNext w:val="0"/>
        <w:keepLines w:val="0"/>
        <w:pageBreakBefore w:val="0"/>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十一、竞买保证金退还或转付成交价款</w:t>
      </w:r>
    </w:p>
    <w:p>
      <w:pPr>
        <w:keepNext w:val="0"/>
        <w:keepLines w:val="0"/>
        <w:pageBreakBefore w:val="0"/>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签订</w:t>
      </w:r>
      <w:r>
        <w:rPr>
          <w:rFonts w:hint="eastAsia" w:ascii="仿宋_GB2312" w:hAnsi="仿宋_GB2312" w:eastAsia="仿宋_GB2312" w:cs="仿宋_GB2312"/>
          <w:b w:val="0"/>
          <w:bCs w:val="0"/>
          <w:color w:val="auto"/>
          <w:sz w:val="32"/>
          <w:szCs w:val="32"/>
          <w:lang w:val="en-US" w:eastAsia="zh-CN"/>
        </w:rPr>
        <w:t>《出让合同》</w:t>
      </w:r>
      <w:r>
        <w:rPr>
          <w:rFonts w:hint="eastAsia" w:ascii="仿宋_GB2312" w:hAnsi="仿宋_GB2312" w:eastAsia="仿宋_GB2312" w:cs="仿宋_GB2312"/>
          <w:b w:val="0"/>
          <w:bCs w:val="0"/>
          <w:color w:val="auto"/>
          <w:sz w:val="32"/>
          <w:szCs w:val="32"/>
        </w:rPr>
        <w:t>，竞得人</w:t>
      </w:r>
      <w:r>
        <w:rPr>
          <w:rFonts w:hint="eastAsia" w:ascii="仿宋_GB2312" w:hAnsi="仿宋_GB2312" w:eastAsia="仿宋_GB2312" w:cs="仿宋_GB2312"/>
          <w:b w:val="0"/>
          <w:bCs w:val="0"/>
          <w:color w:val="auto"/>
          <w:sz w:val="32"/>
          <w:szCs w:val="32"/>
          <w:shd w:val="clear" w:color="auto" w:fill="auto"/>
          <w:lang w:eastAsia="zh-CN"/>
        </w:rPr>
        <w:t>交</w:t>
      </w:r>
      <w:r>
        <w:rPr>
          <w:rFonts w:hint="eastAsia" w:ascii="仿宋_GB2312" w:hAnsi="仿宋_GB2312" w:eastAsia="仿宋_GB2312" w:cs="仿宋_GB2312"/>
          <w:b w:val="0"/>
          <w:bCs w:val="0"/>
          <w:color w:val="auto"/>
          <w:sz w:val="32"/>
          <w:szCs w:val="32"/>
          <w:shd w:val="clear" w:color="auto" w:fill="auto"/>
        </w:rPr>
        <w:t>纳</w:t>
      </w:r>
      <w:r>
        <w:rPr>
          <w:rFonts w:hint="eastAsia" w:ascii="仿宋_GB2312" w:hAnsi="仿宋_GB2312" w:eastAsia="仿宋_GB2312" w:cs="仿宋_GB2312"/>
          <w:b w:val="0"/>
          <w:bCs w:val="0"/>
          <w:color w:val="auto"/>
          <w:sz w:val="32"/>
          <w:szCs w:val="32"/>
        </w:rPr>
        <w:t>的竞买保证金按成交价的</w:t>
      </w:r>
      <w:r>
        <w:rPr>
          <w:rFonts w:hint="eastAsia" w:ascii="仿宋_GB2312" w:hAnsi="仿宋_GB2312" w:eastAsia="仿宋_GB2312" w:cs="仿宋_GB2312"/>
          <w:b w:val="0"/>
          <w:bCs w:val="0"/>
          <w:color w:val="auto"/>
          <w:sz w:val="32"/>
          <w:szCs w:val="32"/>
          <w:u w:val="single"/>
          <w:lang w:val="en-US" w:eastAsia="zh-CN"/>
        </w:rPr>
        <w:t xml:space="preserve">10 </w:t>
      </w:r>
      <w:r>
        <w:rPr>
          <w:rFonts w:hint="eastAsia" w:ascii="仿宋_GB2312" w:hAnsi="仿宋_GB2312" w:eastAsia="仿宋_GB2312" w:cs="仿宋_GB2312"/>
          <w:b w:val="0"/>
          <w:bCs w:val="0"/>
          <w:color w:val="auto"/>
          <w:sz w:val="32"/>
          <w:szCs w:val="32"/>
        </w:rPr>
        <w:t>%转作受让宗地的定金</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如竞买保证金不足以</w:t>
      </w:r>
      <w:r>
        <w:rPr>
          <w:rFonts w:hint="eastAsia" w:ascii="仿宋_GB2312" w:hAnsi="仿宋_GB2312" w:eastAsia="仿宋_GB2312" w:cs="仿宋_GB2312"/>
          <w:b w:val="0"/>
          <w:bCs w:val="0"/>
          <w:color w:val="auto"/>
          <w:sz w:val="32"/>
          <w:szCs w:val="32"/>
          <w:lang w:eastAsia="zh-CN"/>
        </w:rPr>
        <w:t>交</w:t>
      </w:r>
      <w:r>
        <w:rPr>
          <w:rFonts w:hint="eastAsia" w:ascii="仿宋_GB2312" w:hAnsi="仿宋_GB2312" w:eastAsia="仿宋_GB2312" w:cs="仿宋_GB2312"/>
          <w:b w:val="0"/>
          <w:bCs w:val="0"/>
          <w:color w:val="auto"/>
          <w:sz w:val="32"/>
          <w:szCs w:val="32"/>
        </w:rPr>
        <w:t>纳定金，不足部分在交易系统确定成交之日起5个工作日内补齐；如竞买保证金转作定金后有剩余</w:t>
      </w:r>
      <w:bookmarkStart w:id="0" w:name="_GoBack"/>
      <w:bookmarkEnd w:id="0"/>
      <w:r>
        <w:rPr>
          <w:rFonts w:hint="eastAsia" w:ascii="仿宋_GB2312" w:hAnsi="仿宋_GB2312" w:eastAsia="仿宋_GB2312" w:cs="仿宋_GB2312"/>
          <w:b w:val="0"/>
          <w:bCs w:val="0"/>
          <w:color w:val="auto"/>
          <w:sz w:val="32"/>
          <w:szCs w:val="32"/>
        </w:rPr>
        <w:t>，余额转作宗地成交价款，定金可抵作宗地成交价款。</w:t>
      </w:r>
    </w:p>
    <w:p>
      <w:pPr>
        <w:keepNext w:val="0"/>
        <w:keepLines w:val="0"/>
        <w:pageBreakBefore w:val="0"/>
        <w:kinsoku/>
        <w:wordWrap/>
        <w:overflowPunct/>
        <w:topLinePunct w:val="0"/>
        <w:autoSpaceDE/>
        <w:autoSpaceDN/>
        <w:bidi w:val="0"/>
        <w:spacing w:line="240" w:lineRule="auto"/>
        <w:ind w:firstLine="555"/>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以外币缴交竞买保证金的，扣除定金后余额部分返回给竞得人，待竞得人按时缴清土地成交价款后，再将定金退还，不计利息。</w:t>
      </w:r>
    </w:p>
    <w:p>
      <w:pPr>
        <w:pStyle w:val="2"/>
        <w:keepNext w:val="0"/>
        <w:keepLines w:val="0"/>
        <w:pageBreakBefore w:val="0"/>
        <w:kinsoku/>
        <w:wordWrap/>
        <w:overflowPunct/>
        <w:topLinePunct w:val="0"/>
        <w:autoSpaceDE/>
        <w:autoSpaceDN/>
        <w:bidi w:val="0"/>
        <w:spacing w:line="240" w:lineRule="auto"/>
        <w:ind w:firstLine="64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未竞得人交纳的竞买保证金于电子挂牌交易活动结束之日起5个工作日内原路退还，不计利息。</w:t>
      </w:r>
    </w:p>
    <w:p>
      <w:pPr>
        <w:pStyle w:val="2"/>
        <w:keepNext w:val="0"/>
        <w:keepLines w:val="0"/>
        <w:pageBreakBefore w:val="0"/>
        <w:kinsoku/>
        <w:wordWrap/>
        <w:overflowPunct/>
        <w:topLinePunct w:val="0"/>
        <w:autoSpaceDE/>
        <w:autoSpaceDN/>
        <w:bidi w:val="0"/>
        <w:spacing w:line="240" w:lineRule="auto"/>
        <w:ind w:firstLine="64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竞得人交纳的竞买保证金转付成交价款，竞得人应带齐如下相关资料到</w:t>
      </w:r>
      <w:r>
        <w:rPr>
          <w:rFonts w:hint="eastAsia" w:ascii="仿宋_GB2312" w:hAnsi="仿宋_GB2312" w:eastAsia="仿宋_GB2312" w:cs="仿宋_GB2312"/>
          <w:b w:val="0"/>
          <w:bCs w:val="0"/>
          <w:color w:val="auto"/>
          <w:sz w:val="32"/>
          <w:szCs w:val="32"/>
          <w:lang w:val="en-US" w:eastAsia="zh-CN"/>
        </w:rPr>
        <w:t>市公共资源</w:t>
      </w:r>
      <w:r>
        <w:rPr>
          <w:rFonts w:hint="eastAsia" w:ascii="仿宋_GB2312" w:hAnsi="仿宋_GB2312" w:eastAsia="仿宋_GB2312" w:cs="仿宋_GB2312"/>
          <w:b w:val="0"/>
          <w:bCs w:val="0"/>
          <w:color w:val="auto"/>
          <w:sz w:val="32"/>
          <w:szCs w:val="32"/>
        </w:rPr>
        <w:t>交易中心办理转付成交价款手续：</w:t>
      </w:r>
    </w:p>
    <w:p>
      <w:pPr>
        <w:pStyle w:val="2"/>
        <w:keepNext w:val="0"/>
        <w:keepLines w:val="0"/>
        <w:pageBreakBefore w:val="0"/>
        <w:numPr>
          <w:ilvl w:val="0"/>
          <w:numId w:val="5"/>
        </w:numPr>
        <w:kinsoku/>
        <w:wordWrap/>
        <w:overflowPunct/>
        <w:topLinePunct w:val="0"/>
        <w:autoSpaceDE/>
        <w:autoSpaceDN/>
        <w:bidi w:val="0"/>
        <w:spacing w:line="240" w:lineRule="auto"/>
        <w:ind w:firstLine="64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我局开具的成交价款缴款单；</w:t>
      </w:r>
    </w:p>
    <w:p>
      <w:pPr>
        <w:pStyle w:val="2"/>
        <w:keepNext w:val="0"/>
        <w:keepLines w:val="0"/>
        <w:pageBreakBefore w:val="0"/>
        <w:numPr>
          <w:ilvl w:val="0"/>
          <w:numId w:val="5"/>
        </w:numPr>
        <w:kinsoku/>
        <w:wordWrap/>
        <w:overflowPunct/>
        <w:topLinePunct w:val="0"/>
        <w:autoSpaceDE/>
        <w:autoSpaceDN/>
        <w:bidi w:val="0"/>
        <w:spacing w:line="240" w:lineRule="auto"/>
        <w:ind w:firstLine="64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银行端查询缴税凭证；</w:t>
      </w:r>
    </w:p>
    <w:p>
      <w:pPr>
        <w:pStyle w:val="2"/>
        <w:keepNext w:val="0"/>
        <w:keepLines w:val="0"/>
        <w:pageBreakBefore w:val="0"/>
        <w:numPr>
          <w:ilvl w:val="0"/>
          <w:numId w:val="0"/>
        </w:numPr>
        <w:kinsoku/>
        <w:wordWrap/>
        <w:overflowPunct/>
        <w:topLinePunct w:val="0"/>
        <w:autoSpaceDE/>
        <w:autoSpaceDN/>
        <w:bidi w:val="0"/>
        <w:adjustRightInd/>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三</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惠州市非税收入缴款通知</w:t>
      </w:r>
      <w:r>
        <w:rPr>
          <w:rFonts w:hint="eastAsia" w:ascii="仿宋_GB2312" w:hAnsi="仿宋_GB2312" w:eastAsia="仿宋_GB2312" w:cs="仿宋_GB2312"/>
          <w:b w:val="0"/>
          <w:bCs w:val="0"/>
          <w:color w:val="auto"/>
          <w:sz w:val="32"/>
          <w:szCs w:val="32"/>
          <w:lang w:eastAsia="zh-CN"/>
        </w:rPr>
        <w:t>；</w:t>
      </w:r>
    </w:p>
    <w:p>
      <w:pPr>
        <w:pStyle w:val="2"/>
        <w:keepNext w:val="0"/>
        <w:keepLines w:val="0"/>
        <w:pageBreakBefore w:val="0"/>
        <w:numPr>
          <w:ilvl w:val="0"/>
          <w:numId w:val="0"/>
        </w:numPr>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四</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保证金到账通知书；</w:t>
      </w:r>
    </w:p>
    <w:p>
      <w:pPr>
        <w:pStyle w:val="2"/>
        <w:keepNext w:val="0"/>
        <w:keepLines w:val="0"/>
        <w:pageBreakBefore w:val="0"/>
        <w:numPr>
          <w:ilvl w:val="0"/>
          <w:numId w:val="0"/>
        </w:numPr>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五</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竞价结果通知书；</w:t>
      </w:r>
    </w:p>
    <w:p>
      <w:pPr>
        <w:pStyle w:val="2"/>
        <w:keepNext w:val="0"/>
        <w:keepLines w:val="0"/>
        <w:pageBreakBefore w:val="0"/>
        <w:numPr>
          <w:ilvl w:val="0"/>
          <w:numId w:val="0"/>
        </w:numPr>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六</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保证金转账凭证。</w:t>
      </w:r>
    </w:p>
    <w:p>
      <w:pPr>
        <w:pStyle w:val="2"/>
        <w:keepNext w:val="0"/>
        <w:keepLines w:val="0"/>
        <w:pageBreakBefore w:val="0"/>
        <w:kinsoku/>
        <w:wordWrap/>
        <w:overflowPunct/>
        <w:topLinePunct w:val="0"/>
        <w:autoSpaceDE/>
        <w:autoSpaceDN/>
        <w:bidi w:val="0"/>
        <w:spacing w:line="240" w:lineRule="auto"/>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十</w:t>
      </w:r>
      <w:r>
        <w:rPr>
          <w:rFonts w:hint="eastAsia" w:ascii="仿宋_GB2312" w:hAnsi="仿宋_GB2312" w:eastAsia="仿宋_GB2312" w:cs="仿宋_GB2312"/>
          <w:b w:val="0"/>
          <w:bCs w:val="0"/>
          <w:color w:val="auto"/>
          <w:sz w:val="32"/>
          <w:szCs w:val="32"/>
          <w:lang w:eastAsia="zh-CN"/>
        </w:rPr>
        <w:t>二</w:t>
      </w:r>
      <w:r>
        <w:rPr>
          <w:rFonts w:hint="eastAsia" w:ascii="仿宋_GB2312" w:hAnsi="仿宋_GB2312" w:eastAsia="仿宋_GB2312" w:cs="仿宋_GB2312"/>
          <w:b w:val="0"/>
          <w:bCs w:val="0"/>
          <w:color w:val="auto"/>
          <w:sz w:val="32"/>
          <w:szCs w:val="32"/>
        </w:rPr>
        <w:t>、成交价款支付方式及期限</w:t>
      </w:r>
    </w:p>
    <w:p>
      <w:pPr>
        <w:keepNext w:val="0"/>
        <w:keepLines w:val="0"/>
        <w:pageBreakBefore w:val="0"/>
        <w:widowControl w:val="0"/>
        <w:kinsoku/>
        <w:wordWrap/>
        <w:overflowPunct/>
        <w:topLinePunct w:val="0"/>
        <w:autoSpaceDE/>
        <w:autoSpaceDN/>
        <w:bidi w:val="0"/>
        <w:adjustRightInd/>
        <w:snapToGrid/>
        <w:spacing w:line="240" w:lineRule="auto"/>
        <w:ind w:firstLine="555"/>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土地成交价款须以人民币支付,竞得人在签订出让合同之日起</w:t>
      </w:r>
      <w:r>
        <w:rPr>
          <w:rFonts w:hint="eastAsia" w:ascii="仿宋_GB2312" w:hAnsi="仿宋_GB2312" w:eastAsia="仿宋_GB2312" w:cs="仿宋_GB2312"/>
          <w:color w:val="auto"/>
          <w:sz w:val="32"/>
          <w:szCs w:val="32"/>
          <w:highlight w:val="none"/>
          <w:u w:val="single"/>
          <w:lang w:val="en-US" w:eastAsia="zh-CN"/>
        </w:rPr>
        <w:t>30</w:t>
      </w:r>
      <w:r>
        <w:rPr>
          <w:rFonts w:hint="eastAsia" w:ascii="仿宋_GB2312" w:hAnsi="仿宋_GB2312" w:eastAsia="仿宋_GB2312" w:cs="仿宋_GB2312"/>
          <w:color w:val="auto"/>
          <w:sz w:val="32"/>
          <w:szCs w:val="32"/>
          <w:highlight w:val="none"/>
          <w:lang w:val="en-US" w:eastAsia="zh-CN"/>
        </w:rPr>
        <w:t>日内一次性付清全部成交价款。</w:t>
      </w:r>
    </w:p>
    <w:p>
      <w:pPr>
        <w:keepNext w:val="0"/>
        <w:keepLines w:val="0"/>
        <w:pageBreakBefore w:val="0"/>
        <w:widowControl w:val="0"/>
        <w:kinsoku/>
        <w:wordWrap/>
        <w:overflowPunct/>
        <w:topLinePunct w:val="0"/>
        <w:autoSpaceDE/>
        <w:autoSpaceDN/>
        <w:bidi w:val="0"/>
        <w:adjustRightInd/>
        <w:snapToGrid/>
        <w:spacing w:line="240" w:lineRule="auto"/>
        <w:ind w:firstLine="555"/>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竞得人不能按时支付地价款的，自滞纳之日起，每日按迟延支付款项的1‰向出让人缴纳违约金，按合同约定延期付款超过60日的，土地出让人可以解除合同并无偿收回，已付定金归出让人，竞得人无权要求返还，出让人并可要求受让人赔偿损失。</w:t>
      </w:r>
    </w:p>
    <w:p>
      <w:pPr>
        <w:pStyle w:val="2"/>
        <w:keepNext w:val="0"/>
        <w:keepLines w:val="0"/>
        <w:pageBreakBefore w:val="0"/>
        <w:kinsoku/>
        <w:wordWrap/>
        <w:overflowPunct/>
        <w:topLinePunct w:val="0"/>
        <w:autoSpaceDE/>
        <w:autoSpaceDN/>
        <w:bidi w:val="0"/>
        <w:spacing w:line="240" w:lineRule="auto"/>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十</w:t>
      </w:r>
      <w:r>
        <w:rPr>
          <w:rFonts w:hint="eastAsia" w:ascii="仿宋_GB2312" w:hAnsi="仿宋_GB2312" w:eastAsia="仿宋_GB2312" w:cs="仿宋_GB2312"/>
          <w:b w:val="0"/>
          <w:bCs w:val="0"/>
          <w:color w:val="auto"/>
          <w:sz w:val="32"/>
          <w:szCs w:val="32"/>
          <w:lang w:eastAsia="zh-CN"/>
        </w:rPr>
        <w:t>三</w:t>
      </w:r>
      <w:r>
        <w:rPr>
          <w:rFonts w:hint="eastAsia" w:ascii="仿宋_GB2312" w:hAnsi="仿宋_GB2312" w:eastAsia="仿宋_GB2312" w:cs="仿宋_GB2312"/>
          <w:b w:val="0"/>
          <w:bCs w:val="0"/>
          <w:color w:val="auto"/>
          <w:sz w:val="32"/>
          <w:szCs w:val="32"/>
        </w:rPr>
        <w:t>、违规责任</w:t>
      </w:r>
    </w:p>
    <w:p>
      <w:pPr>
        <w:keepNext w:val="0"/>
        <w:keepLines w:val="0"/>
        <w:pageBreakBefore w:val="0"/>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成交候选人（或竞得人）有下列行为之一的，取消候选人资格（或竞得资格），竞价结果无效，竞买保证金不予退还,造成损失的，成交候选人（或竞得人）还应依法承担赔偿责任：</w:t>
      </w:r>
    </w:p>
    <w:p>
      <w:pPr>
        <w:keepNext w:val="0"/>
        <w:keepLines w:val="0"/>
        <w:pageBreakBefore w:val="0"/>
        <w:numPr>
          <w:ilvl w:val="0"/>
          <w:numId w:val="6"/>
        </w:numPr>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不符合竞买资格条件的；</w:t>
      </w:r>
    </w:p>
    <w:p>
      <w:pPr>
        <w:keepNext w:val="0"/>
        <w:keepLines w:val="0"/>
        <w:pageBreakBefore w:val="0"/>
        <w:numPr>
          <w:ilvl w:val="0"/>
          <w:numId w:val="6"/>
        </w:numPr>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提供虚假文件材料，隐瞒重要事实的；</w:t>
      </w:r>
    </w:p>
    <w:p>
      <w:pPr>
        <w:keepNext w:val="0"/>
        <w:keepLines w:val="0"/>
        <w:pageBreakBefore w:val="0"/>
        <w:numPr>
          <w:ilvl w:val="0"/>
          <w:numId w:val="6"/>
        </w:numPr>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采取行贿、恶意串通等非法手段竞得的；</w:t>
      </w:r>
    </w:p>
    <w:p>
      <w:pPr>
        <w:keepNext w:val="0"/>
        <w:keepLines w:val="0"/>
        <w:pageBreakBefore w:val="0"/>
        <w:numPr>
          <w:ilvl w:val="0"/>
          <w:numId w:val="6"/>
        </w:numPr>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无正当理由逾期或拒绝签订成交确认书的；</w:t>
      </w:r>
    </w:p>
    <w:p>
      <w:pPr>
        <w:keepNext w:val="0"/>
        <w:keepLines w:val="0"/>
        <w:pageBreakBefore w:val="0"/>
        <w:numPr>
          <w:ilvl w:val="0"/>
          <w:numId w:val="6"/>
        </w:numPr>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无正当理由逾期或拒绝签订</w:t>
      </w:r>
      <w:r>
        <w:rPr>
          <w:rFonts w:hint="eastAsia" w:ascii="仿宋_GB2312" w:hAnsi="仿宋_GB2312" w:eastAsia="仿宋_GB2312" w:cs="仿宋_GB2312"/>
          <w:b w:val="0"/>
          <w:bCs w:val="0"/>
          <w:color w:val="auto"/>
          <w:sz w:val="32"/>
          <w:szCs w:val="32"/>
          <w:lang w:val="en-US" w:eastAsia="zh-CN"/>
        </w:rPr>
        <w:t>《出让合同》</w:t>
      </w:r>
      <w:r>
        <w:rPr>
          <w:rFonts w:hint="eastAsia" w:ascii="仿宋_GB2312" w:hAnsi="仿宋_GB2312" w:eastAsia="仿宋_GB2312" w:cs="仿宋_GB2312"/>
          <w:b w:val="0"/>
          <w:bCs w:val="0"/>
          <w:color w:val="auto"/>
          <w:sz w:val="32"/>
          <w:szCs w:val="32"/>
        </w:rPr>
        <w:t>的。</w:t>
      </w:r>
    </w:p>
    <w:p>
      <w:pPr>
        <w:pStyle w:val="2"/>
        <w:keepNext w:val="0"/>
        <w:keepLines w:val="0"/>
        <w:pageBreakBefore w:val="0"/>
        <w:kinsoku/>
        <w:wordWrap/>
        <w:overflowPunct/>
        <w:topLinePunct w:val="0"/>
        <w:autoSpaceDE/>
        <w:autoSpaceDN/>
        <w:bidi w:val="0"/>
        <w:spacing w:line="240" w:lineRule="auto"/>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十</w:t>
      </w:r>
      <w:r>
        <w:rPr>
          <w:rFonts w:hint="eastAsia" w:ascii="仿宋_GB2312" w:hAnsi="仿宋_GB2312" w:eastAsia="仿宋_GB2312" w:cs="仿宋_GB2312"/>
          <w:b w:val="0"/>
          <w:bCs w:val="0"/>
          <w:color w:val="auto"/>
          <w:sz w:val="32"/>
          <w:szCs w:val="32"/>
          <w:lang w:eastAsia="zh-CN"/>
        </w:rPr>
        <w:t>四</w:t>
      </w:r>
      <w:r>
        <w:rPr>
          <w:rFonts w:hint="eastAsia" w:ascii="仿宋_GB2312" w:hAnsi="仿宋_GB2312" w:eastAsia="仿宋_GB2312" w:cs="仿宋_GB2312"/>
          <w:b w:val="0"/>
          <w:bCs w:val="0"/>
          <w:color w:val="auto"/>
          <w:sz w:val="32"/>
          <w:szCs w:val="32"/>
        </w:rPr>
        <w:t>、其他需要公告的事项</w:t>
      </w:r>
    </w:p>
    <w:p>
      <w:pPr>
        <w:keepNext w:val="0"/>
        <w:keepLines w:val="0"/>
        <w:pageBreakBefore w:val="0"/>
        <w:kinsoku/>
        <w:wordWrap/>
        <w:overflowPunct/>
        <w:topLinePunct w:val="0"/>
        <w:autoSpaceDE/>
        <w:autoSpaceDN/>
        <w:bidi w:val="0"/>
        <w:spacing w:line="240" w:lineRule="auto"/>
        <w:ind w:firstLine="555"/>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（一）本宗地网上挂牌出让的详细资料和具体要求，见</w:t>
      </w:r>
      <w:r>
        <w:rPr>
          <w:rFonts w:hint="eastAsia" w:ascii="仿宋_GB2312" w:hAnsi="仿宋_GB2312" w:eastAsia="仿宋_GB2312" w:cs="仿宋_GB2312"/>
          <w:b w:val="0"/>
          <w:bCs w:val="0"/>
          <w:color w:val="auto"/>
          <w:sz w:val="32"/>
          <w:szCs w:val="32"/>
          <w:lang w:val="en-US" w:eastAsia="zh-CN"/>
        </w:rPr>
        <w:t>市公共资源</w:t>
      </w:r>
      <w:r>
        <w:rPr>
          <w:rFonts w:hint="eastAsia" w:ascii="仿宋_GB2312" w:hAnsi="仿宋_GB2312" w:eastAsia="仿宋_GB2312" w:cs="仿宋_GB2312"/>
          <w:b w:val="0"/>
          <w:bCs w:val="0"/>
          <w:color w:val="auto"/>
          <w:sz w:val="32"/>
          <w:szCs w:val="32"/>
        </w:rPr>
        <w:t>交易中心网上挂牌交易系统（https://www.hzgtjy.com/）。申请人可在网上挂牌交易系统下载挂牌出让公告、须知及相关交易文件。</w:t>
      </w:r>
    </w:p>
    <w:p>
      <w:pPr>
        <w:pStyle w:val="2"/>
        <w:keepNext w:val="0"/>
        <w:keepLines w:val="0"/>
        <w:pageBreakBefore w:val="0"/>
        <w:kinsoku/>
        <w:wordWrap/>
        <w:overflowPunct/>
        <w:topLinePunct w:val="0"/>
        <w:autoSpaceDE/>
        <w:autoSpaceDN/>
        <w:bidi w:val="0"/>
        <w:spacing w:line="240" w:lineRule="auto"/>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（二）有意竞买者可以自行到地块现场踏勘（可在网上挂牌交易系统查阅位置图和现状图）。</w:t>
      </w:r>
    </w:p>
    <w:p>
      <w:pPr>
        <w:pStyle w:val="2"/>
        <w:keepNext w:val="0"/>
        <w:keepLines w:val="0"/>
        <w:pageBreakBefore w:val="0"/>
        <w:kinsoku/>
        <w:wordWrap/>
        <w:overflowPunct/>
        <w:topLinePunct w:val="0"/>
        <w:autoSpaceDE/>
        <w:autoSpaceDN/>
        <w:bidi w:val="0"/>
        <w:spacing w:line="240" w:lineRule="auto"/>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（三）竞买申请一经受理确认后，即视为竞买人对网上挂牌出让公告、须知、相关交易文件及地块现状无异议并全部接受，并对有关承诺承担法律责任。</w:t>
      </w:r>
    </w:p>
    <w:p>
      <w:pPr>
        <w:pStyle w:val="2"/>
        <w:keepNext w:val="0"/>
        <w:keepLines w:val="0"/>
        <w:pageBreakBefore w:val="0"/>
        <w:kinsoku/>
        <w:wordWrap/>
        <w:overflowPunct/>
        <w:topLinePunct w:val="0"/>
        <w:autoSpaceDE/>
        <w:autoSpaceDN/>
        <w:bidi w:val="0"/>
        <w:spacing w:line="240" w:lineRule="auto"/>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（四）地块动工竣工时间及地块交付时间</w:t>
      </w:r>
    </w:p>
    <w:p>
      <w:pPr>
        <w:pStyle w:val="2"/>
        <w:keepNext w:val="0"/>
        <w:keepLines w:val="0"/>
        <w:pageBreakBefore w:val="0"/>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1、地块动工时间为地块交付之日起一年内，竣工时间为动工之日起三年内（因不可抗拒因素除外）；</w:t>
      </w:r>
    </w:p>
    <w:p>
      <w:pPr>
        <w:pStyle w:val="2"/>
        <w:keepNext w:val="0"/>
        <w:keepLines w:val="0"/>
        <w:pageBreakBefore w:val="0"/>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2、竞得人在付清地价款后一个月内办理交地手续，凭《交地确认书》、《出让合同》（正本）和地价款交款凭证等申请办理土地初始登记，领取《不动产权证书》。</w:t>
      </w:r>
    </w:p>
    <w:p>
      <w:pPr>
        <w:pStyle w:val="2"/>
        <w:keepNext w:val="0"/>
        <w:keepLines w:val="0"/>
        <w:pageBreakBefore w:val="0"/>
        <w:kinsoku/>
        <w:wordWrap/>
        <w:overflowPunct/>
        <w:topLinePunct w:val="0"/>
        <w:autoSpaceDE/>
        <w:autoSpaceDN/>
        <w:bidi w:val="0"/>
        <w:spacing w:line="240" w:lineRule="auto"/>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（五）土地开发及使用规定</w:t>
      </w:r>
    </w:p>
    <w:p>
      <w:pPr>
        <w:keepNext w:val="0"/>
        <w:keepLines w:val="0"/>
        <w:pageBreakBefore w:val="0"/>
        <w:kinsoku/>
        <w:wordWrap/>
        <w:overflowPunct/>
        <w:topLinePunct w:val="0"/>
        <w:autoSpaceDE/>
        <w:autoSpaceDN/>
        <w:bidi w:val="0"/>
        <w:spacing w:line="240" w:lineRule="auto"/>
        <w:ind w:firstLine="640" w:firstLineChars="200"/>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rPr>
        <w:t>1、开发投资总额不少于</w:t>
      </w:r>
      <w:r>
        <w:rPr>
          <w:rFonts w:hint="default" w:ascii="Times New Roman" w:hAnsi="Times New Roman" w:eastAsia="仿宋_GB2312" w:cs="Times New Roman"/>
          <w:color w:val="auto"/>
          <w:kern w:val="2"/>
          <w:sz w:val="32"/>
          <w:szCs w:val="32"/>
          <w:lang w:val="en-US" w:eastAsia="zh-CN"/>
        </w:rPr>
        <w:t>3150</w:t>
      </w:r>
      <w:r>
        <w:rPr>
          <w:rFonts w:hint="eastAsia" w:ascii="仿宋_GB2312" w:hAnsi="仿宋_GB2312" w:eastAsia="仿宋_GB2312" w:cs="仿宋_GB2312"/>
          <w:b w:val="0"/>
          <w:bCs w:val="0"/>
          <w:color w:val="auto"/>
          <w:sz w:val="32"/>
          <w:szCs w:val="32"/>
        </w:rPr>
        <w:t>万元</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含地价，不含地价溢价部分</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w:t>
      </w:r>
    </w:p>
    <w:p>
      <w:pPr>
        <w:keepNext w:val="0"/>
        <w:keepLines w:val="0"/>
        <w:pageBreakBefore w:val="0"/>
        <w:kinsoku/>
        <w:wordWrap/>
        <w:overflowPunct/>
        <w:topLinePunct w:val="0"/>
        <w:autoSpaceDE/>
        <w:autoSpaceDN/>
        <w:bidi w:val="0"/>
        <w:spacing w:line="240" w:lineRule="auto"/>
        <w:ind w:firstLine="627" w:firstLineChars="196"/>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rPr>
        <w:t>2、竞得人在用地红线内开发建设必须符合城市规划要求，必须按《规划设计条件告知书》（案卷编号：</w:t>
      </w:r>
      <w:r>
        <w:rPr>
          <w:rFonts w:hint="eastAsia" w:ascii="仿宋_GB2312" w:hAnsi="仿宋_GB2312" w:eastAsia="仿宋_GB2312" w:cs="仿宋_GB2312"/>
          <w:color w:val="auto"/>
          <w:sz w:val="32"/>
          <w:szCs w:val="32"/>
          <w:lang w:val="en-US" w:eastAsia="zh-CN"/>
        </w:rPr>
        <w:t>PB20210098</w:t>
      </w:r>
      <w:r>
        <w:rPr>
          <w:rFonts w:hint="eastAsia" w:ascii="仿宋_GB2312" w:hAnsi="仿宋_GB2312" w:eastAsia="仿宋_GB2312" w:cs="仿宋_GB2312"/>
          <w:b w:val="0"/>
          <w:bCs w:val="0"/>
          <w:color w:val="auto"/>
          <w:sz w:val="32"/>
          <w:szCs w:val="32"/>
        </w:rPr>
        <w:t>）规划控制指标要求及有关规定进行规划设计</w:t>
      </w:r>
      <w:r>
        <w:rPr>
          <w:rFonts w:hint="eastAsia" w:ascii="仿宋_GB2312" w:hAnsi="仿宋_GB2312" w:eastAsia="仿宋_GB2312" w:cs="仿宋_GB2312"/>
          <w:b w:val="0"/>
          <w:bCs w:val="0"/>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40" w:lineRule="exact"/>
        <w:ind w:firstLine="627" w:firstLineChars="196"/>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3、竞得人需按</w:t>
      </w:r>
      <w:r>
        <w:rPr>
          <w:rFonts w:hint="eastAsia" w:ascii="仿宋_GB2312" w:hAnsi="仿宋_GB2312" w:eastAsia="仿宋_GB2312" w:cs="仿宋_GB2312"/>
          <w:color w:val="auto"/>
          <w:sz w:val="32"/>
          <w:szCs w:val="32"/>
          <w:lang w:val="en-US" w:eastAsia="zh-CN"/>
        </w:rPr>
        <w:t>《规划设计条件告知书》（案卷编号：PB20210098）</w:t>
      </w:r>
      <w:r>
        <w:rPr>
          <w:rFonts w:hint="eastAsia" w:ascii="仿宋_GB2312" w:hAnsi="仿宋_GB2312" w:eastAsia="仿宋_GB2312" w:cs="仿宋_GB2312"/>
          <w:b w:val="0"/>
          <w:bCs w:val="0"/>
          <w:color w:val="auto"/>
          <w:sz w:val="32"/>
          <w:szCs w:val="32"/>
          <w:lang w:val="en-US" w:eastAsia="zh-CN"/>
        </w:rPr>
        <w:t>要求配建相关配套设施；</w:t>
      </w:r>
    </w:p>
    <w:p>
      <w:pPr>
        <w:keepNext w:val="0"/>
        <w:keepLines w:val="0"/>
        <w:pageBreakBefore w:val="0"/>
        <w:widowControl w:val="0"/>
        <w:kinsoku/>
        <w:wordWrap/>
        <w:overflowPunct/>
        <w:topLinePunct w:val="0"/>
        <w:autoSpaceDE/>
        <w:autoSpaceDN/>
        <w:bidi w:val="0"/>
        <w:adjustRightInd/>
        <w:snapToGrid/>
        <w:spacing w:line="640" w:lineRule="exact"/>
        <w:ind w:firstLine="627" w:firstLineChars="196"/>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4、其他要求：</w:t>
      </w:r>
    </w:p>
    <w:p>
      <w:pPr>
        <w:keepNext w:val="0"/>
        <w:keepLines w:val="0"/>
        <w:pageBreakBefore w:val="0"/>
        <w:kinsoku/>
        <w:wordWrap/>
        <w:overflowPunct/>
        <w:topLinePunct w:val="0"/>
        <w:autoSpaceDE/>
        <w:autoSpaceDN/>
        <w:bidi w:val="0"/>
        <w:spacing w:line="240" w:lineRule="auto"/>
        <w:ind w:firstLine="627" w:firstLineChars="196"/>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（1）该地权利清晰，安置补偿落实到位，没有法律经济纠纷，具备动工开发所必须的基本条件。</w:t>
      </w:r>
    </w:p>
    <w:p>
      <w:pPr>
        <w:keepNext w:val="0"/>
        <w:keepLines w:val="0"/>
        <w:pageBreakBefore w:val="0"/>
        <w:kinsoku/>
        <w:wordWrap/>
        <w:overflowPunct/>
        <w:topLinePunct w:val="0"/>
        <w:autoSpaceDE/>
        <w:autoSpaceDN/>
        <w:bidi w:val="0"/>
        <w:spacing w:line="240" w:lineRule="auto"/>
        <w:ind w:firstLine="627" w:firstLineChars="196"/>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2</w:t>
      </w:r>
      <w:r>
        <w:rPr>
          <w:rFonts w:hint="default" w:ascii="仿宋_GB2312" w:hAnsi="仿宋_GB2312" w:eastAsia="仿宋_GB2312" w:cs="仿宋_GB2312"/>
          <w:color w:val="auto"/>
          <w:sz w:val="32"/>
          <w:szCs w:val="32"/>
          <w:lang w:val="en-US" w:eastAsia="zh-CN"/>
        </w:rPr>
        <w:t>）取得地下停车场建设权的单位应按照《建设用地规划设计条件》的规划要求进行建设。</w:t>
      </w:r>
    </w:p>
    <w:p>
      <w:pPr>
        <w:keepNext w:val="0"/>
        <w:keepLines w:val="0"/>
        <w:pageBreakBefore w:val="0"/>
        <w:kinsoku/>
        <w:wordWrap/>
        <w:overflowPunct/>
        <w:topLinePunct w:val="0"/>
        <w:autoSpaceDE/>
        <w:autoSpaceDN/>
        <w:bidi w:val="0"/>
        <w:spacing w:line="240" w:lineRule="auto"/>
        <w:ind w:firstLine="627" w:firstLineChars="196"/>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3</w:t>
      </w:r>
      <w:r>
        <w:rPr>
          <w:rFonts w:hint="default" w:ascii="仿宋_GB2312" w:hAnsi="仿宋_GB2312" w:eastAsia="仿宋_GB2312" w:cs="仿宋_GB2312"/>
          <w:color w:val="auto"/>
          <w:sz w:val="32"/>
          <w:szCs w:val="32"/>
          <w:lang w:val="en-US" w:eastAsia="zh-CN"/>
        </w:rPr>
        <w:t>）取得JD67-09地</w:t>
      </w:r>
      <w:r>
        <w:rPr>
          <w:rFonts w:hint="eastAsia" w:ascii="仿宋_GB2312" w:hAnsi="仿宋_GB2312" w:eastAsia="仿宋_GB2312" w:cs="仿宋_GB2312"/>
          <w:color w:val="auto"/>
          <w:sz w:val="32"/>
          <w:szCs w:val="32"/>
          <w:lang w:val="en-US" w:eastAsia="zh-CN"/>
        </w:rPr>
        <w:t>块</w:t>
      </w:r>
      <w:r>
        <w:rPr>
          <w:rFonts w:hint="default" w:ascii="仿宋_GB2312" w:hAnsi="仿宋_GB2312" w:eastAsia="仿宋_GB2312" w:cs="仿宋_GB2312"/>
          <w:color w:val="auto"/>
          <w:sz w:val="32"/>
          <w:szCs w:val="32"/>
          <w:lang w:val="en-US" w:eastAsia="zh-CN"/>
        </w:rPr>
        <w:t>的土地使用权者需按规划要求承担JD67-09地块公园绿地建设，建成后无偿交给政府相关部门，并开放给公众使用。</w:t>
      </w:r>
    </w:p>
    <w:p>
      <w:pPr>
        <w:keepNext w:val="0"/>
        <w:keepLines w:val="0"/>
        <w:pageBreakBefore w:val="0"/>
        <w:kinsoku/>
        <w:wordWrap/>
        <w:overflowPunct/>
        <w:topLinePunct w:val="0"/>
        <w:autoSpaceDE/>
        <w:autoSpaceDN/>
        <w:bidi w:val="0"/>
        <w:spacing w:line="240" w:lineRule="auto"/>
        <w:ind w:firstLine="627" w:firstLineChars="196"/>
        <w:textAlignment w:val="auto"/>
        <w:rPr>
          <w:rFonts w:hint="eastAsia"/>
          <w:lang w:val="en-US" w:eastAsia="zh-CN"/>
        </w:rPr>
      </w:pPr>
      <w:r>
        <w:rPr>
          <w:rFonts w:hint="default"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4</w:t>
      </w:r>
      <w:r>
        <w:rPr>
          <w:rFonts w:hint="default" w:ascii="仿宋_GB2312" w:hAnsi="仿宋_GB2312" w:eastAsia="仿宋_GB2312" w:cs="仿宋_GB2312"/>
          <w:color w:val="auto"/>
          <w:sz w:val="32"/>
          <w:szCs w:val="32"/>
          <w:lang w:val="en-US" w:eastAsia="zh-CN"/>
        </w:rPr>
        <w:t>）JD67-09地块建成后，需结合现状恢复地块东侧现状道路。</w:t>
      </w:r>
    </w:p>
    <w:p>
      <w:pPr>
        <w:keepNext w:val="0"/>
        <w:keepLines w:val="0"/>
        <w:pageBreakBefore w:val="0"/>
        <w:numPr>
          <w:ilvl w:val="0"/>
          <w:numId w:val="6"/>
        </w:numPr>
        <w:kinsoku/>
        <w:wordWrap/>
        <w:overflowPunct/>
        <w:topLinePunct w:val="0"/>
        <w:autoSpaceDE/>
        <w:autoSpaceDN/>
        <w:bidi w:val="0"/>
        <w:spacing w:line="240" w:lineRule="auto"/>
        <w:ind w:left="0" w:leftChars="0"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该宗地交易全程适用</w:t>
      </w:r>
      <w:r>
        <w:rPr>
          <w:rFonts w:hint="eastAsia" w:ascii="仿宋_GB2312" w:hAnsi="仿宋_GB2312" w:eastAsia="仿宋_GB2312" w:cs="仿宋_GB2312"/>
          <w:b w:val="0"/>
          <w:bCs w:val="0"/>
          <w:color w:val="auto"/>
          <w:sz w:val="32"/>
          <w:szCs w:val="32"/>
        </w:rPr>
        <w:t>《惠州市政务服务数据管理局</w:t>
      </w:r>
      <w:r>
        <w:rPr>
          <w:rFonts w:hint="eastAsia" w:ascii="仿宋_GB2312" w:hAnsi="仿宋_GB2312" w:eastAsia="仿宋_GB2312" w:cs="仿宋_GB2312"/>
          <w:b w:val="0"/>
          <w:bCs w:val="0"/>
          <w:color w:val="auto"/>
          <w:sz w:val="32"/>
          <w:szCs w:val="32"/>
          <w:lang w:val="en-US" w:eastAsia="zh-CN"/>
        </w:rPr>
        <w:t xml:space="preserve"> </w:t>
      </w:r>
      <w:r>
        <w:rPr>
          <w:rFonts w:hint="eastAsia" w:ascii="仿宋_GB2312" w:hAnsi="仿宋_GB2312" w:eastAsia="仿宋_GB2312" w:cs="仿宋_GB2312"/>
          <w:b w:val="0"/>
          <w:bCs w:val="0"/>
          <w:color w:val="auto"/>
          <w:sz w:val="32"/>
          <w:szCs w:val="32"/>
        </w:rPr>
        <w:t>惠州市公共资源交易中心公共资源电子交易规则》</w:t>
      </w:r>
      <w:r>
        <w:rPr>
          <w:rFonts w:hint="eastAsia" w:ascii="仿宋_GB2312" w:hAnsi="仿宋_GB2312" w:eastAsia="仿宋_GB2312" w:cs="仿宋_GB2312"/>
          <w:b w:val="0"/>
          <w:bCs w:val="0"/>
          <w:color w:val="auto"/>
          <w:sz w:val="32"/>
          <w:szCs w:val="32"/>
          <w:lang w:val="en-US" w:eastAsia="zh-CN"/>
        </w:rPr>
        <w:t>（惠市政数〔2022〕3号）。</w:t>
      </w:r>
    </w:p>
    <w:p>
      <w:pPr>
        <w:keepNext w:val="0"/>
        <w:keepLines w:val="0"/>
        <w:pageBreakBefore w:val="0"/>
        <w:numPr>
          <w:ilvl w:val="0"/>
          <w:numId w:val="6"/>
        </w:numPr>
        <w:kinsoku/>
        <w:wordWrap/>
        <w:overflowPunct/>
        <w:topLinePunct w:val="0"/>
        <w:autoSpaceDE/>
        <w:autoSpaceDN/>
        <w:bidi w:val="0"/>
        <w:spacing w:line="240" w:lineRule="auto"/>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联系方式：</w:t>
      </w:r>
    </w:p>
    <w:p>
      <w:pPr>
        <w:keepNext w:val="0"/>
        <w:keepLines w:val="0"/>
        <w:pageBreakBefore w:val="0"/>
        <w:kinsoku/>
        <w:wordWrap/>
        <w:overflowPunct/>
        <w:topLinePunct w:val="0"/>
        <w:autoSpaceDE/>
        <w:autoSpaceDN/>
        <w:bidi w:val="0"/>
        <w:spacing w:line="240" w:lineRule="auto"/>
        <w:ind w:right="640" w:firstLine="640" w:firstLineChars="200"/>
        <w:textAlignment w:val="auto"/>
        <w:rPr>
          <w:rFonts w:hint="eastAsia" w:ascii="仿宋_GB2312" w:hAnsi="仿宋_GB2312" w:eastAsia="仿宋_GB2312" w:cs="仿宋_GB2312"/>
          <w:b w:val="0"/>
          <w:bCs w:val="0"/>
          <w:color w:val="auto"/>
          <w:sz w:val="32"/>
          <w:szCs w:val="32"/>
          <w:u w:val="single"/>
          <w:lang w:val="en-US" w:eastAsia="zh-CN"/>
        </w:rPr>
      </w:pPr>
      <w:r>
        <w:rPr>
          <w:rFonts w:hint="eastAsia" w:ascii="仿宋_GB2312" w:hAnsi="仿宋_GB2312" w:eastAsia="仿宋_GB2312" w:cs="仿宋_GB2312"/>
          <w:b w:val="0"/>
          <w:bCs w:val="0"/>
          <w:color w:val="auto"/>
          <w:sz w:val="32"/>
          <w:szCs w:val="32"/>
        </w:rPr>
        <w:t>出让方：</w:t>
      </w:r>
      <w:r>
        <w:rPr>
          <w:rFonts w:hint="eastAsia" w:ascii="仿宋_GB2312" w:hAnsi="仿宋_GB2312" w:eastAsia="仿宋_GB2312" w:cs="仿宋_GB2312"/>
          <w:b w:val="0"/>
          <w:bCs w:val="0"/>
          <w:color w:val="auto"/>
          <w:sz w:val="32"/>
          <w:szCs w:val="32"/>
          <w:lang w:val="en-US" w:eastAsia="zh-CN"/>
        </w:rPr>
        <w:t>惠州市自然资源局</w:t>
      </w:r>
    </w:p>
    <w:p>
      <w:pPr>
        <w:keepNext w:val="0"/>
        <w:keepLines w:val="0"/>
        <w:pageBreakBefore w:val="0"/>
        <w:kinsoku/>
        <w:wordWrap/>
        <w:overflowPunct/>
        <w:topLinePunct w:val="0"/>
        <w:autoSpaceDE/>
        <w:autoSpaceDN/>
        <w:bidi w:val="0"/>
        <w:spacing w:line="240" w:lineRule="auto"/>
        <w:ind w:right="640" w:firstLine="640" w:firstLineChars="200"/>
        <w:textAlignment w:val="auto"/>
        <w:rPr>
          <w:rFonts w:hint="eastAsia" w:ascii="仿宋_GB2312" w:hAnsi="仿宋_GB2312" w:eastAsia="仿宋_GB2312" w:cs="仿宋_GB2312"/>
          <w:b w:val="0"/>
          <w:bCs w:val="0"/>
          <w:color w:val="auto"/>
          <w:sz w:val="32"/>
          <w:szCs w:val="32"/>
          <w:u w:val="single"/>
          <w:lang w:val="en-US" w:eastAsia="zh-CN"/>
        </w:rPr>
      </w:pPr>
      <w:r>
        <w:rPr>
          <w:rFonts w:hint="eastAsia" w:ascii="仿宋_GB2312" w:hAnsi="仿宋_GB2312" w:eastAsia="仿宋_GB2312" w:cs="仿宋_GB2312"/>
          <w:b w:val="0"/>
          <w:bCs w:val="0"/>
          <w:color w:val="auto"/>
          <w:sz w:val="32"/>
          <w:szCs w:val="32"/>
        </w:rPr>
        <w:t>联系地址：广东省惠州市惠城区三新</w:t>
      </w:r>
      <w:r>
        <w:rPr>
          <w:rFonts w:hint="eastAsia" w:ascii="仿宋_GB2312" w:hAnsi="仿宋_GB2312" w:eastAsia="仿宋_GB2312" w:cs="仿宋_GB2312"/>
          <w:b w:val="0"/>
          <w:bCs w:val="0"/>
          <w:color w:val="auto"/>
          <w:sz w:val="32"/>
          <w:szCs w:val="32"/>
          <w:lang w:val="en-US" w:eastAsia="zh-CN"/>
        </w:rPr>
        <w:t>南路7号</w:t>
      </w:r>
    </w:p>
    <w:p>
      <w:pPr>
        <w:keepNext w:val="0"/>
        <w:keepLines w:val="0"/>
        <w:pageBreakBefore w:val="0"/>
        <w:kinsoku/>
        <w:wordWrap/>
        <w:overflowPunct/>
        <w:topLinePunct w:val="0"/>
        <w:autoSpaceDE/>
        <w:autoSpaceDN/>
        <w:bidi w:val="0"/>
        <w:spacing w:line="240" w:lineRule="auto"/>
        <w:ind w:right="640" w:firstLine="640" w:firstLineChars="200"/>
        <w:textAlignment w:val="auto"/>
        <w:rPr>
          <w:rFonts w:hint="eastAsia" w:ascii="仿宋_GB2312" w:hAnsi="仿宋_GB2312" w:eastAsia="仿宋_GB2312" w:cs="仿宋_GB2312"/>
          <w:b w:val="0"/>
          <w:bCs w:val="0"/>
          <w:color w:val="auto"/>
          <w:sz w:val="32"/>
          <w:szCs w:val="32"/>
          <w:u w:val="single"/>
          <w:lang w:val="en-US" w:eastAsia="zh-CN"/>
        </w:rPr>
      </w:pPr>
      <w:r>
        <w:rPr>
          <w:rFonts w:hint="eastAsia" w:ascii="仿宋_GB2312" w:hAnsi="仿宋_GB2312" w:eastAsia="仿宋_GB2312" w:cs="仿宋_GB2312"/>
          <w:b w:val="0"/>
          <w:bCs w:val="0"/>
          <w:color w:val="auto"/>
          <w:sz w:val="32"/>
          <w:szCs w:val="32"/>
        </w:rPr>
        <w:t>联系人：</w:t>
      </w:r>
      <w:r>
        <w:rPr>
          <w:rFonts w:hint="eastAsia" w:ascii="仿宋_GB2312" w:hAnsi="仿宋_GB2312" w:eastAsia="仿宋_GB2312" w:cs="仿宋_GB2312"/>
          <w:b w:val="0"/>
          <w:bCs w:val="0"/>
          <w:color w:val="auto"/>
          <w:sz w:val="32"/>
          <w:szCs w:val="32"/>
          <w:lang w:val="en-US" w:eastAsia="zh-CN"/>
        </w:rPr>
        <w:t>侯工</w:t>
      </w:r>
    </w:p>
    <w:p>
      <w:pPr>
        <w:keepNext w:val="0"/>
        <w:keepLines w:val="0"/>
        <w:pageBreakBefore w:val="0"/>
        <w:kinsoku/>
        <w:wordWrap/>
        <w:overflowPunct/>
        <w:topLinePunct w:val="0"/>
        <w:autoSpaceDE/>
        <w:autoSpaceDN/>
        <w:bidi w:val="0"/>
        <w:spacing w:line="240" w:lineRule="auto"/>
        <w:ind w:right="640"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rPr>
        <w:t>联系电话：</w:t>
      </w:r>
      <w:r>
        <w:rPr>
          <w:rFonts w:hint="eastAsia" w:ascii="仿宋_GB2312" w:hAnsi="仿宋_GB2312" w:eastAsia="仿宋_GB2312" w:cs="仿宋_GB2312"/>
          <w:b w:val="0"/>
          <w:bCs w:val="0"/>
          <w:color w:val="auto"/>
          <w:sz w:val="32"/>
          <w:szCs w:val="32"/>
          <w:lang w:val="en-US" w:eastAsia="zh-CN"/>
        </w:rPr>
        <w:t>2896413</w:t>
      </w:r>
    </w:p>
    <w:p>
      <w:pPr>
        <w:keepNext w:val="0"/>
        <w:keepLines w:val="0"/>
        <w:pageBreakBefore w:val="0"/>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交易机构：惠州市公共资源交易中心</w:t>
      </w:r>
    </w:p>
    <w:p>
      <w:pPr>
        <w:keepNext w:val="0"/>
        <w:keepLines w:val="0"/>
        <w:pageBreakBefore w:val="0"/>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联系地址：广东省惠州市惠城区三新北路31号市民服务中心3号楼</w:t>
      </w:r>
    </w:p>
    <w:p>
      <w:pPr>
        <w:keepNext w:val="0"/>
        <w:keepLines w:val="0"/>
        <w:pageBreakBefore w:val="0"/>
        <w:kinsoku/>
        <w:wordWrap/>
        <w:overflowPunct/>
        <w:topLinePunct w:val="0"/>
        <w:autoSpaceDE/>
        <w:autoSpaceDN/>
        <w:bidi w:val="0"/>
        <w:spacing w:line="240" w:lineRule="auto"/>
        <w:ind w:right="640" w:firstLine="640" w:firstLineChars="200"/>
        <w:textAlignment w:val="auto"/>
        <w:rPr>
          <w:rFonts w:hint="eastAsia" w:ascii="仿宋_GB2312" w:hAnsi="仿宋_GB2312" w:eastAsia="仿宋_GB2312" w:cs="仿宋_GB2312"/>
          <w:b w:val="0"/>
          <w:bCs w:val="0"/>
          <w:color w:val="auto"/>
          <w:sz w:val="32"/>
          <w:szCs w:val="32"/>
          <w:u w:val="single"/>
          <w:lang w:val="en-US" w:eastAsia="zh-CN"/>
        </w:rPr>
      </w:pPr>
      <w:r>
        <w:rPr>
          <w:rFonts w:hint="eastAsia" w:ascii="仿宋_GB2312" w:hAnsi="仿宋_GB2312" w:eastAsia="仿宋_GB2312" w:cs="仿宋_GB2312"/>
          <w:b w:val="0"/>
          <w:bCs w:val="0"/>
          <w:color w:val="auto"/>
          <w:sz w:val="32"/>
          <w:szCs w:val="32"/>
        </w:rPr>
        <w:t>联系人</w:t>
      </w:r>
      <w:r>
        <w:rPr>
          <w:rFonts w:hint="eastAsia" w:ascii="仿宋_GB2312" w:hAnsi="仿宋_GB2312" w:eastAsia="仿宋_GB2312" w:cs="仿宋_GB2312"/>
          <w:b w:val="0"/>
          <w:bCs w:val="0"/>
          <w:color w:val="auto"/>
          <w:sz w:val="32"/>
          <w:szCs w:val="32"/>
          <w:lang w:eastAsia="zh-CN"/>
        </w:rPr>
        <w:t>：袁工、白工</w:t>
      </w:r>
    </w:p>
    <w:p>
      <w:pPr>
        <w:keepNext w:val="0"/>
        <w:keepLines w:val="0"/>
        <w:pageBreakBefore w:val="0"/>
        <w:kinsoku/>
        <w:wordWrap/>
        <w:overflowPunct/>
        <w:topLinePunct w:val="0"/>
        <w:autoSpaceDE/>
        <w:autoSpaceDN/>
        <w:bidi w:val="0"/>
        <w:spacing w:line="240" w:lineRule="auto"/>
        <w:ind w:right="640" w:firstLine="640" w:firstLineChars="200"/>
        <w:textAlignment w:val="auto"/>
        <w:rPr>
          <w:rFonts w:hint="default" w:ascii="仿宋_GB2312" w:hAnsi="仿宋_GB2312" w:eastAsia="仿宋_GB2312" w:cs="仿宋_GB2312"/>
          <w:b w:val="0"/>
          <w:bCs w:val="0"/>
          <w:color w:val="auto"/>
          <w:sz w:val="32"/>
          <w:szCs w:val="32"/>
          <w:u w:val="single"/>
          <w:lang w:val="en-US" w:eastAsia="zh-CN"/>
        </w:rPr>
      </w:pPr>
      <w:r>
        <w:rPr>
          <w:rFonts w:hint="eastAsia" w:ascii="仿宋_GB2312" w:hAnsi="仿宋_GB2312" w:eastAsia="仿宋_GB2312" w:cs="仿宋_GB2312"/>
          <w:b w:val="0"/>
          <w:bCs w:val="0"/>
          <w:color w:val="auto"/>
          <w:sz w:val="32"/>
          <w:szCs w:val="32"/>
        </w:rPr>
        <w:t>联系电话：</w:t>
      </w:r>
      <w:r>
        <w:rPr>
          <w:rFonts w:hint="eastAsia" w:ascii="仿宋_GB2312" w:hAnsi="仿宋_GB2312" w:eastAsia="仿宋_GB2312" w:cs="仿宋_GB2312"/>
          <w:b w:val="0"/>
          <w:bCs w:val="0"/>
          <w:color w:val="auto"/>
          <w:sz w:val="32"/>
          <w:szCs w:val="32"/>
          <w:lang w:val="en-US" w:eastAsia="zh-CN"/>
        </w:rPr>
        <w:t>0752-7121026、0752-7121036</w:t>
      </w:r>
    </w:p>
    <w:p>
      <w:pPr>
        <w:keepNext w:val="0"/>
        <w:keepLines w:val="0"/>
        <w:pageBreakBefore w:val="0"/>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注：本公告同时在下列网站及场所发布</w:t>
      </w:r>
    </w:p>
    <w:p>
      <w:pPr>
        <w:keepNext w:val="0"/>
        <w:keepLines w:val="0"/>
        <w:pageBreakBefore w:val="0"/>
        <w:kinsoku/>
        <w:wordWrap/>
        <w:overflowPunct/>
        <w:topLinePunct w:val="0"/>
        <w:autoSpaceDE/>
        <w:autoSpaceDN/>
        <w:bidi w:val="0"/>
        <w:spacing w:line="240" w:lineRule="auto"/>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sz w:val="32"/>
          <w:szCs w:val="32"/>
        </w:rPr>
        <w:t>中国土地市场网:</w:t>
      </w:r>
      <w:r>
        <w:rPr>
          <w:rFonts w:hint="eastAsia" w:ascii="仿宋_GB2312" w:hAnsi="仿宋_GB2312" w:eastAsia="仿宋_GB2312" w:cs="仿宋_GB2312"/>
          <w:color w:val="auto"/>
          <w:sz w:val="32"/>
          <w:szCs w:val="32"/>
          <w:highlight w:val="none"/>
        </w:rPr>
        <w:t xml:space="preserve"> http://www.landchina.com</w:t>
      </w:r>
    </w:p>
    <w:p>
      <w:pPr>
        <w:keepNext w:val="0"/>
        <w:keepLines w:val="0"/>
        <w:pageBreakBefore w:val="0"/>
        <w:kinsoku/>
        <w:wordWrap/>
        <w:overflowPunct/>
        <w:topLinePunct w:val="0"/>
        <w:autoSpaceDE/>
        <w:autoSpaceDN/>
        <w:bidi w:val="0"/>
        <w:spacing w:line="240" w:lineRule="auto"/>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惠州市自然资源局网站：http://land.huizhou.gov.cn</w:t>
      </w:r>
    </w:p>
    <w:p>
      <w:pPr>
        <w:keepNext w:val="0"/>
        <w:keepLines w:val="0"/>
        <w:pageBreakBefore w:val="0"/>
        <w:kinsoku/>
        <w:wordWrap/>
        <w:overflowPunct/>
        <w:topLinePunct w:val="0"/>
        <w:autoSpaceDE/>
        <w:autoSpaceDN/>
        <w:bidi w:val="0"/>
        <w:spacing w:line="240" w:lineRule="auto"/>
        <w:ind w:firstLine="640" w:firstLineChars="200"/>
        <w:jc w:val="lef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惠州市公共资源交易中心网：</w:t>
      </w:r>
      <w:r>
        <w:rPr>
          <w:rFonts w:hint="eastAsia" w:ascii="华文楷体" w:hAnsi="华文楷体" w:eastAsia="华文楷体" w:cs="华文楷体"/>
          <w:color w:val="auto"/>
          <w:sz w:val="32"/>
          <w:szCs w:val="32"/>
          <w:highlight w:val="none"/>
        </w:rPr>
        <w:fldChar w:fldCharType="begin"/>
      </w:r>
      <w:r>
        <w:rPr>
          <w:rFonts w:hint="eastAsia" w:ascii="华文楷体" w:hAnsi="华文楷体" w:eastAsia="华文楷体" w:cs="华文楷体"/>
          <w:color w:val="auto"/>
          <w:sz w:val="32"/>
          <w:szCs w:val="32"/>
          <w:highlight w:val="none"/>
        </w:rPr>
        <w:instrText xml:space="preserve"> HYPERLINK "http://zyjy.huizhou.gov.cn" </w:instrText>
      </w:r>
      <w:r>
        <w:rPr>
          <w:rFonts w:hint="eastAsia" w:ascii="华文楷体" w:hAnsi="华文楷体" w:eastAsia="华文楷体" w:cs="华文楷体"/>
          <w:color w:val="auto"/>
          <w:sz w:val="32"/>
          <w:szCs w:val="32"/>
          <w:highlight w:val="none"/>
        </w:rPr>
        <w:fldChar w:fldCharType="separate"/>
      </w:r>
      <w:r>
        <w:rPr>
          <w:rFonts w:hint="eastAsia" w:ascii="华文楷体" w:hAnsi="华文楷体" w:eastAsia="华文楷体" w:cs="华文楷体"/>
          <w:color w:val="auto"/>
          <w:sz w:val="32"/>
          <w:szCs w:val="32"/>
          <w:highlight w:val="none"/>
        </w:rPr>
        <w:t>http://zyjy.huizhou.gov.cn</w:t>
      </w:r>
      <w:r>
        <w:rPr>
          <w:rFonts w:hint="eastAsia" w:ascii="华文楷体" w:hAnsi="华文楷体" w:eastAsia="华文楷体" w:cs="华文楷体"/>
          <w:color w:val="auto"/>
          <w:sz w:val="32"/>
          <w:szCs w:val="32"/>
          <w:highlight w:val="none"/>
        </w:rPr>
        <w:fldChar w:fldCharType="end"/>
      </w:r>
    </w:p>
    <w:p>
      <w:pPr>
        <w:keepNext w:val="0"/>
        <w:keepLines w:val="0"/>
        <w:pageBreakBefore w:val="0"/>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val="0"/>
          <w:bCs w:val="0"/>
          <w:color w:val="auto"/>
          <w:sz w:val="32"/>
          <w:szCs w:val="32"/>
        </w:rPr>
        <w:t>惠州市公共资源交易中心交易大厅的电子显示屏</w:t>
      </w:r>
    </w:p>
    <w:p>
      <w:pPr>
        <w:keepNext w:val="0"/>
        <w:keepLines w:val="0"/>
        <w:pageBreakBefore w:val="0"/>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数字证书办理地址：广东省惠州市惠城区三新北路31号市民服务中心3号楼惠州市公共资源交易中心一楼大厅1号土地与矿业交易窗口。</w:t>
      </w:r>
    </w:p>
    <w:p>
      <w:pPr>
        <w:keepNext w:val="0"/>
        <w:keepLines w:val="0"/>
        <w:pageBreakBefore w:val="0"/>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联系人：罗工</w:t>
      </w:r>
    </w:p>
    <w:p>
      <w:pPr>
        <w:keepNext w:val="0"/>
        <w:keepLines w:val="0"/>
        <w:pageBreakBefore w:val="0"/>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联系电话：0752-7121029</w:t>
      </w:r>
    </w:p>
    <w:p>
      <w:pPr>
        <w:pStyle w:val="2"/>
        <w:keepNext w:val="0"/>
        <w:keepLines w:val="0"/>
        <w:pageBreakBefore w:val="0"/>
        <w:kinsoku/>
        <w:wordWrap/>
        <w:overflowPunct/>
        <w:topLinePunct w:val="0"/>
        <w:autoSpaceDE/>
        <w:autoSpaceDN/>
        <w:bidi w:val="0"/>
        <w:spacing w:line="240" w:lineRule="auto"/>
        <w:ind w:left="0" w:leftChars="0" w:firstLine="0" w:firstLineChars="0"/>
        <w:textAlignment w:val="auto"/>
        <w:rPr>
          <w:rFonts w:hint="eastAsia" w:ascii="仿宋_GB2312" w:hAnsi="仿宋_GB2312" w:eastAsia="仿宋_GB2312" w:cs="仿宋_GB2312"/>
          <w:b w:val="0"/>
          <w:bCs w:val="0"/>
          <w:color w:val="auto"/>
          <w:sz w:val="32"/>
          <w:szCs w:val="32"/>
        </w:rPr>
      </w:pPr>
    </w:p>
    <w:p>
      <w:pPr>
        <w:pStyle w:val="2"/>
        <w:keepNext w:val="0"/>
        <w:keepLines w:val="0"/>
        <w:pageBreakBefore w:val="0"/>
        <w:kinsoku/>
        <w:wordWrap/>
        <w:overflowPunct/>
        <w:topLinePunct w:val="0"/>
        <w:autoSpaceDE/>
        <w:autoSpaceDN/>
        <w:bidi w:val="0"/>
        <w:spacing w:line="240" w:lineRule="auto"/>
        <w:ind w:firstLine="3840" w:firstLineChars="1200"/>
        <w:textAlignment w:val="auto"/>
        <w:rPr>
          <w:rFonts w:hint="eastAsia" w:ascii="仿宋_GB2312" w:hAnsi="仿宋_GB2312" w:eastAsia="仿宋_GB2312" w:cs="仿宋_GB2312"/>
          <w:b w:val="0"/>
          <w:bCs w:val="0"/>
          <w:color w:val="auto"/>
          <w:sz w:val="32"/>
          <w:szCs w:val="32"/>
          <w:u w:val="single"/>
          <w:lang w:val="en-US" w:eastAsia="zh-CN"/>
        </w:rPr>
      </w:pPr>
      <w:r>
        <w:rPr>
          <w:rFonts w:hint="eastAsia" w:ascii="仿宋_GB2312" w:hAnsi="仿宋_GB2312" w:eastAsia="仿宋_GB2312" w:cs="仿宋_GB2312"/>
          <w:b w:val="0"/>
          <w:bCs w:val="0"/>
          <w:color w:val="auto"/>
          <w:sz w:val="32"/>
          <w:szCs w:val="32"/>
          <w:u w:val="none"/>
          <w:lang w:val="en-US" w:eastAsia="zh-CN"/>
        </w:rPr>
        <w:t xml:space="preserve">     惠州市</w:t>
      </w:r>
      <w:r>
        <w:rPr>
          <w:rFonts w:hint="eastAsia" w:ascii="仿宋_GB2312" w:hAnsi="仿宋_GB2312" w:eastAsia="仿宋_GB2312" w:cs="仿宋_GB2312"/>
          <w:b w:val="0"/>
          <w:bCs w:val="0"/>
          <w:color w:val="auto"/>
          <w:sz w:val="32"/>
          <w:szCs w:val="32"/>
        </w:rPr>
        <w:t>自然资源局</w:t>
      </w:r>
      <w:r>
        <w:rPr>
          <w:rFonts w:hint="eastAsia" w:ascii="仿宋_GB2312" w:hAnsi="仿宋_GB2312" w:eastAsia="仿宋_GB2312" w:cs="仿宋_GB2312"/>
          <w:b w:val="0"/>
          <w:bCs w:val="0"/>
          <w:color w:val="auto"/>
          <w:sz w:val="32"/>
          <w:szCs w:val="32"/>
          <w:lang w:val="en-US" w:eastAsia="zh-CN"/>
        </w:rPr>
        <w:t xml:space="preserve">  </w:t>
      </w:r>
    </w:p>
    <w:p>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 xml:space="preserve">                     2022</w:t>
      </w:r>
      <w:r>
        <w:rPr>
          <w:rFonts w:hint="eastAsia" w:ascii="仿宋_GB2312" w:hAnsi="仿宋_GB2312" w:eastAsia="仿宋_GB2312" w:cs="仿宋_GB2312"/>
          <w:b w:val="0"/>
          <w:bCs w:val="0"/>
          <w:color w:val="auto"/>
          <w:sz w:val="32"/>
          <w:szCs w:val="32"/>
        </w:rPr>
        <w:t>年</w:t>
      </w:r>
      <w:r>
        <w:rPr>
          <w:rFonts w:hint="eastAsia" w:ascii="仿宋_GB2312" w:hAnsi="仿宋_GB2312" w:eastAsia="仿宋_GB2312" w:cs="仿宋_GB2312"/>
          <w:b w:val="0"/>
          <w:bCs w:val="0"/>
          <w:color w:val="auto"/>
          <w:sz w:val="32"/>
          <w:szCs w:val="32"/>
          <w:u w:val="none"/>
          <w:lang w:val="en-US" w:eastAsia="zh-CN"/>
        </w:rPr>
        <w:t>9</w:t>
      </w:r>
      <w:r>
        <w:rPr>
          <w:rFonts w:hint="eastAsia" w:ascii="仿宋_GB2312" w:hAnsi="仿宋_GB2312" w:eastAsia="仿宋_GB2312" w:cs="仿宋_GB2312"/>
          <w:b w:val="0"/>
          <w:bCs w:val="0"/>
          <w:color w:val="auto"/>
          <w:sz w:val="32"/>
          <w:szCs w:val="32"/>
        </w:rPr>
        <w:t>月</w:t>
      </w:r>
      <w:r>
        <w:rPr>
          <w:rFonts w:hint="eastAsia" w:ascii="仿宋_GB2312" w:hAnsi="仿宋_GB2312" w:eastAsia="仿宋_GB2312" w:cs="仿宋_GB2312"/>
          <w:b w:val="0"/>
          <w:bCs w:val="0"/>
          <w:color w:val="auto"/>
          <w:sz w:val="32"/>
          <w:szCs w:val="32"/>
          <w:lang w:val="en-US" w:eastAsia="zh-CN"/>
        </w:rPr>
        <w:t>14</w:t>
      </w:r>
      <w:r>
        <w:rPr>
          <w:rFonts w:hint="eastAsia" w:ascii="仿宋_GB2312" w:hAnsi="仿宋_GB2312" w:eastAsia="仿宋_GB2312" w:cs="仿宋_GB2312"/>
          <w:b w:val="0"/>
          <w:bCs w:val="0"/>
          <w:color w:val="auto"/>
          <w:sz w:val="32"/>
          <w:szCs w:val="32"/>
        </w:rPr>
        <w:t>日</w:t>
      </w:r>
    </w:p>
    <w:p>
      <w:pPr>
        <w:keepNext w:val="0"/>
        <w:keepLines w:val="0"/>
        <w:pageBreakBefore w:val="0"/>
        <w:kinsoku/>
        <w:wordWrap/>
        <w:overflowPunct/>
        <w:topLinePunct w:val="0"/>
        <w:autoSpaceDE/>
        <w:autoSpaceDN/>
        <w:bidi w:val="0"/>
        <w:spacing w:line="240" w:lineRule="auto"/>
        <w:textAlignment w:val="auto"/>
        <w:rPr>
          <w:rFonts w:hint="eastAsia" w:ascii="华文中宋" w:hAnsi="华文中宋" w:eastAsia="华文中宋" w:cs="华文中宋"/>
          <w:color w:val="auto"/>
          <w:sz w:val="30"/>
          <w:szCs w:val="30"/>
        </w:rPr>
      </w:pPr>
    </w:p>
    <w:p>
      <w:pPr>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_GB2312" w:cs="Times New Roman"/>
          <w:color w:val="auto"/>
          <w:sz w:val="32"/>
          <w:szCs w:val="32"/>
        </w:rPr>
      </w:pPr>
    </w:p>
    <w:p>
      <w:pPr>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黑体" w:cs="Times New Roman"/>
          <w:color w:val="auto"/>
          <w:sz w:val="32"/>
          <w:szCs w:val="32"/>
          <w:highlight w:val="none"/>
        </w:rPr>
      </w:pPr>
    </w:p>
    <w:p>
      <w:pPr>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黑体" w:cs="Times New Roman"/>
          <w:color w:val="auto"/>
          <w:sz w:val="32"/>
          <w:szCs w:val="32"/>
          <w:highlight w:val="none"/>
        </w:rPr>
        <w:sectPr>
          <w:headerReference r:id="rId3" w:type="default"/>
          <w:footerReference r:id="rId4" w:type="default"/>
          <w:pgSz w:w="11906" w:h="16838"/>
          <w:pgMar w:top="1701" w:right="1701" w:bottom="1701" w:left="1701" w:header="851" w:footer="1474" w:gutter="0"/>
          <w:pgNumType w:fmt="decimal" w:start="1"/>
          <w:cols w:space="720" w:num="1"/>
          <w:docGrid w:type="lines" w:linePitch="312" w:charSpace="0"/>
        </w:sectPr>
      </w:pPr>
    </w:p>
    <w:p>
      <w:pPr>
        <w:pStyle w:val="2"/>
        <w:ind w:left="0" w:leftChars="0" w:firstLine="0" w:firstLineChars="0"/>
        <w:rPr>
          <w:rFonts w:hint="default"/>
          <w:color w:val="auto"/>
        </w:rPr>
      </w:pPr>
    </w:p>
    <w:p>
      <w:pPr>
        <w:spacing w:line="360" w:lineRule="auto"/>
        <w:rPr>
          <w:rFonts w:hint="default" w:ascii="Times New Roman" w:hAnsi="Times New Roman" w:eastAsia="仿宋_GB2312" w:cs="Times New Roman"/>
          <w:color w:val="auto"/>
          <w:sz w:val="32"/>
          <w:szCs w:val="32"/>
          <w:highlight w:val="none"/>
        </w:rPr>
      </w:pPr>
      <w:r>
        <w:rPr>
          <w:rFonts w:hint="default" w:ascii="Times New Roman" w:hAnsi="Times New Roman" w:eastAsia="黑体" w:cs="Times New Roman"/>
          <w:color w:val="auto"/>
          <w:sz w:val="32"/>
          <w:szCs w:val="32"/>
          <w:highlight w:val="none"/>
        </w:rPr>
        <w:t>附表</w:t>
      </w:r>
    </w:p>
    <w:p>
      <w:pPr>
        <w:tabs>
          <w:tab w:val="left" w:pos="9720"/>
        </w:tabs>
        <w:spacing w:line="360" w:lineRule="auto"/>
        <w:jc w:val="center"/>
        <w:rPr>
          <w:rFonts w:hint="default" w:ascii="Times New Roman" w:hAnsi="Times New Roman" w:eastAsia="方正小标宋_GBK" w:cs="Times New Roman"/>
          <w:b/>
          <w:color w:val="auto"/>
          <w:sz w:val="36"/>
          <w:szCs w:val="36"/>
          <w:highlight w:val="none"/>
        </w:rPr>
      </w:pPr>
      <w:r>
        <w:rPr>
          <w:rFonts w:hint="default" w:ascii="Times New Roman" w:hAnsi="Times New Roman" w:eastAsia="方正小标宋_GBK" w:cs="Times New Roman"/>
          <w:b/>
          <w:color w:val="auto"/>
          <w:sz w:val="36"/>
          <w:szCs w:val="36"/>
          <w:highlight w:val="none"/>
        </w:rPr>
        <w:t>网上挂牌出让地块基本情况及规划建设指标</w:t>
      </w:r>
    </w:p>
    <w:tbl>
      <w:tblPr>
        <w:tblStyle w:val="13"/>
        <w:tblpPr w:leftFromText="180" w:rightFromText="180" w:vertAnchor="text" w:horzAnchor="page" w:tblpX="1626" w:tblpY="425"/>
        <w:tblOverlap w:val="never"/>
        <w:tblW w:w="14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1235"/>
        <w:gridCol w:w="1140"/>
        <w:gridCol w:w="1148"/>
        <w:gridCol w:w="1170"/>
        <w:gridCol w:w="1177"/>
        <w:gridCol w:w="900"/>
        <w:gridCol w:w="750"/>
        <w:gridCol w:w="1650"/>
        <w:gridCol w:w="615"/>
        <w:gridCol w:w="1485"/>
        <w:gridCol w:w="108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235" w:type="dxa"/>
            <w:vMerge w:val="restart"/>
            <w:vAlign w:val="center"/>
          </w:tcPr>
          <w:p>
            <w:pPr>
              <w:spacing w:line="320" w:lineRule="exact"/>
              <w:jc w:val="center"/>
              <w:rPr>
                <w:rFonts w:hint="default" w:ascii="Times New Roman" w:hAnsi="Times New Roman" w:eastAsia="仿宋_GB2312" w:cs="Times New Roman"/>
                <w:b/>
                <w:bCs/>
                <w:color w:val="auto"/>
                <w:szCs w:val="21"/>
                <w:highlight w:val="none"/>
                <w:lang w:val="en-US" w:eastAsia="zh-CN"/>
              </w:rPr>
            </w:pPr>
            <w:r>
              <w:rPr>
                <w:rFonts w:hint="eastAsia" w:eastAsia="仿宋_GB2312" w:cs="Times New Roman"/>
                <w:b/>
                <w:bCs/>
                <w:color w:val="auto"/>
                <w:szCs w:val="21"/>
                <w:highlight w:val="none"/>
                <w:lang w:val="en-US" w:eastAsia="zh-CN"/>
              </w:rPr>
              <w:t>地块挂牌编号</w:t>
            </w:r>
          </w:p>
        </w:tc>
        <w:tc>
          <w:tcPr>
            <w:tcW w:w="1235" w:type="dxa"/>
            <w:vMerge w:val="restart"/>
            <w:vAlign w:val="center"/>
          </w:tcPr>
          <w:p>
            <w:pPr>
              <w:spacing w:line="320" w:lineRule="exact"/>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土地</w:t>
            </w:r>
          </w:p>
          <w:p>
            <w:pPr>
              <w:spacing w:line="320" w:lineRule="exact"/>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位置</w:t>
            </w:r>
          </w:p>
        </w:tc>
        <w:tc>
          <w:tcPr>
            <w:tcW w:w="1140" w:type="dxa"/>
            <w:vMerge w:val="restart"/>
            <w:vAlign w:val="center"/>
          </w:tcPr>
          <w:p>
            <w:pPr>
              <w:adjustRightInd w:val="0"/>
              <w:snapToGrid w:val="0"/>
              <w:spacing w:line="320" w:lineRule="exact"/>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lang w:val="en-US" w:eastAsia="zh-CN"/>
              </w:rPr>
              <w:t>用地</w:t>
            </w:r>
            <w:r>
              <w:rPr>
                <w:rFonts w:hint="default" w:ascii="Times New Roman" w:hAnsi="Times New Roman" w:eastAsia="仿宋_GB2312" w:cs="Times New Roman"/>
                <w:b/>
                <w:bCs/>
                <w:color w:val="auto"/>
                <w:szCs w:val="21"/>
                <w:highlight w:val="none"/>
              </w:rPr>
              <w:t>编号</w:t>
            </w:r>
          </w:p>
        </w:tc>
        <w:tc>
          <w:tcPr>
            <w:tcW w:w="1148" w:type="dxa"/>
            <w:vMerge w:val="restart"/>
            <w:vAlign w:val="center"/>
          </w:tcPr>
          <w:p>
            <w:pPr>
              <w:adjustRightInd w:val="0"/>
              <w:snapToGrid w:val="0"/>
              <w:spacing w:line="320" w:lineRule="exact"/>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土地</w:t>
            </w:r>
          </w:p>
          <w:p>
            <w:pPr>
              <w:adjustRightInd w:val="0"/>
              <w:snapToGrid w:val="0"/>
              <w:spacing w:line="320" w:lineRule="exact"/>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用途</w:t>
            </w:r>
          </w:p>
        </w:tc>
        <w:tc>
          <w:tcPr>
            <w:tcW w:w="8827" w:type="dxa"/>
            <w:gridSpan w:val="8"/>
            <w:vAlign w:val="center"/>
          </w:tcPr>
          <w:p>
            <w:pPr>
              <w:adjustRightInd w:val="0"/>
              <w:snapToGrid w:val="0"/>
              <w:spacing w:line="320" w:lineRule="exact"/>
              <w:ind w:left="1" w:leftChars="-89" w:hanging="188" w:hangingChars="89"/>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规划指标要求</w:t>
            </w:r>
          </w:p>
        </w:tc>
        <w:tc>
          <w:tcPr>
            <w:tcW w:w="1140" w:type="dxa"/>
            <w:vAlign w:val="center"/>
          </w:tcPr>
          <w:p>
            <w:pPr>
              <w:autoSpaceDE w:val="0"/>
              <w:autoSpaceDN w:val="0"/>
              <w:adjustRightInd w:val="0"/>
              <w:spacing w:line="240" w:lineRule="exact"/>
              <w:jc w:val="center"/>
              <w:rPr>
                <w:rFonts w:hint="default" w:ascii="Times New Roman" w:hAnsi="Times New Roman" w:eastAsia="仿宋_GB2312" w:cs="Times New Roman"/>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1235" w:type="dxa"/>
            <w:vMerge w:val="continue"/>
            <w:vAlign w:val="center"/>
          </w:tcPr>
          <w:p>
            <w:pPr>
              <w:adjustRightInd w:val="0"/>
              <w:snapToGrid w:val="0"/>
              <w:spacing w:line="320" w:lineRule="exact"/>
              <w:jc w:val="center"/>
              <w:rPr>
                <w:rFonts w:hint="default" w:ascii="Times New Roman" w:hAnsi="Times New Roman" w:eastAsia="仿宋_GB2312" w:cs="Times New Roman"/>
                <w:b/>
                <w:bCs/>
                <w:color w:val="auto"/>
                <w:highlight w:val="none"/>
              </w:rPr>
            </w:pPr>
          </w:p>
        </w:tc>
        <w:tc>
          <w:tcPr>
            <w:tcW w:w="1235" w:type="dxa"/>
            <w:vMerge w:val="continue"/>
            <w:vAlign w:val="center"/>
          </w:tcPr>
          <w:p>
            <w:pPr>
              <w:adjustRightInd w:val="0"/>
              <w:snapToGrid w:val="0"/>
              <w:spacing w:line="320" w:lineRule="exact"/>
              <w:jc w:val="center"/>
              <w:rPr>
                <w:rFonts w:hint="default" w:ascii="Times New Roman" w:hAnsi="Times New Roman" w:eastAsia="仿宋_GB2312" w:cs="Times New Roman"/>
                <w:b/>
                <w:bCs/>
                <w:color w:val="auto"/>
                <w:highlight w:val="none"/>
              </w:rPr>
            </w:pPr>
          </w:p>
        </w:tc>
        <w:tc>
          <w:tcPr>
            <w:tcW w:w="1140" w:type="dxa"/>
            <w:vMerge w:val="continue"/>
            <w:vAlign w:val="center"/>
          </w:tcPr>
          <w:p>
            <w:pPr>
              <w:adjustRightInd w:val="0"/>
              <w:snapToGrid w:val="0"/>
              <w:spacing w:line="320" w:lineRule="exact"/>
              <w:jc w:val="center"/>
              <w:rPr>
                <w:rFonts w:hint="default" w:ascii="Times New Roman" w:hAnsi="Times New Roman" w:eastAsia="仿宋_GB2312" w:cs="Times New Roman"/>
                <w:b/>
                <w:bCs/>
                <w:color w:val="auto"/>
                <w:highlight w:val="none"/>
              </w:rPr>
            </w:pPr>
          </w:p>
        </w:tc>
        <w:tc>
          <w:tcPr>
            <w:tcW w:w="1148" w:type="dxa"/>
            <w:vMerge w:val="continue"/>
            <w:vAlign w:val="center"/>
          </w:tcPr>
          <w:p>
            <w:pPr>
              <w:adjustRightInd w:val="0"/>
              <w:snapToGrid w:val="0"/>
              <w:spacing w:line="320" w:lineRule="exact"/>
              <w:jc w:val="center"/>
              <w:rPr>
                <w:rFonts w:hint="default" w:ascii="Times New Roman" w:hAnsi="Times New Roman" w:eastAsia="仿宋_GB2312" w:cs="Times New Roman"/>
                <w:b/>
                <w:bCs/>
                <w:color w:val="auto"/>
                <w:highlight w:val="none"/>
              </w:rPr>
            </w:pPr>
          </w:p>
        </w:tc>
        <w:tc>
          <w:tcPr>
            <w:tcW w:w="1170" w:type="dxa"/>
            <w:vAlign w:val="center"/>
          </w:tcPr>
          <w:p>
            <w:pPr>
              <w:spacing w:line="320" w:lineRule="exact"/>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计算指标用地面积</w:t>
            </w:r>
          </w:p>
        </w:tc>
        <w:tc>
          <w:tcPr>
            <w:tcW w:w="1177" w:type="dxa"/>
            <w:vAlign w:val="center"/>
          </w:tcPr>
          <w:p>
            <w:pPr>
              <w:autoSpaceDE w:val="0"/>
              <w:autoSpaceDN w:val="0"/>
              <w:adjustRightInd w:val="0"/>
              <w:spacing w:line="240" w:lineRule="exact"/>
              <w:jc w:val="center"/>
              <w:rPr>
                <w:rFonts w:hint="default" w:ascii="Times New Roman" w:hAnsi="Times New Roman" w:cs="Times New Roman"/>
                <w:b/>
                <w:bCs/>
                <w:color w:val="auto"/>
                <w:szCs w:val="21"/>
                <w:highlight w:val="none"/>
              </w:rPr>
            </w:pPr>
            <w:r>
              <w:rPr>
                <w:rFonts w:hint="eastAsia" w:eastAsia="仿宋_GB2312" w:cs="Times New Roman"/>
                <w:b/>
                <w:bCs/>
                <w:color w:val="auto"/>
                <w:szCs w:val="21"/>
                <w:highlight w:val="none"/>
                <w:lang w:val="en-US" w:eastAsia="zh-CN"/>
              </w:rPr>
              <w:t>地下</w:t>
            </w:r>
            <w:r>
              <w:rPr>
                <w:rFonts w:hint="default" w:ascii="Times New Roman" w:hAnsi="Times New Roman" w:eastAsia="仿宋_GB2312" w:cs="Times New Roman"/>
                <w:b/>
                <w:bCs/>
                <w:color w:val="auto"/>
                <w:szCs w:val="21"/>
                <w:highlight w:val="none"/>
              </w:rPr>
              <w:t>宗地使用权面积</w:t>
            </w:r>
          </w:p>
        </w:tc>
        <w:tc>
          <w:tcPr>
            <w:tcW w:w="900" w:type="dxa"/>
            <w:vAlign w:val="center"/>
          </w:tcPr>
          <w:p>
            <w:pPr>
              <w:autoSpaceDE w:val="0"/>
              <w:autoSpaceDN w:val="0"/>
              <w:adjustRightInd w:val="0"/>
              <w:spacing w:line="240" w:lineRule="exact"/>
              <w:jc w:val="center"/>
              <w:rPr>
                <w:rFonts w:hint="default" w:ascii="Times New Roman" w:hAnsi="Times New Roman" w:eastAsia="仿宋_GB2312" w:cs="Times New Roman"/>
                <w:b/>
                <w:bCs/>
                <w:color w:val="auto"/>
                <w:szCs w:val="21"/>
                <w:highlight w:val="none"/>
                <w:lang w:val="en-US" w:eastAsia="zh-CN"/>
              </w:rPr>
            </w:pPr>
            <w:r>
              <w:rPr>
                <w:rFonts w:hint="default" w:ascii="Times New Roman" w:hAnsi="Times New Roman" w:eastAsia="仿宋_GB2312" w:cs="Times New Roman"/>
                <w:b/>
                <w:bCs/>
                <w:color w:val="auto"/>
                <w:szCs w:val="21"/>
                <w:highlight w:val="none"/>
                <w:lang w:val="en-US" w:eastAsia="zh-CN"/>
              </w:rPr>
              <w:t>建筑密度</w:t>
            </w:r>
          </w:p>
        </w:tc>
        <w:tc>
          <w:tcPr>
            <w:tcW w:w="750" w:type="dxa"/>
            <w:vAlign w:val="center"/>
          </w:tcPr>
          <w:p>
            <w:pPr>
              <w:autoSpaceDE w:val="0"/>
              <w:autoSpaceDN w:val="0"/>
              <w:adjustRightInd w:val="0"/>
              <w:spacing w:line="240" w:lineRule="exact"/>
              <w:jc w:val="center"/>
              <w:rPr>
                <w:rFonts w:hint="default" w:ascii="Times New Roman" w:hAnsi="Times New Roman" w:eastAsia="仿宋_GB2312" w:cs="Times New Roman"/>
                <w:b/>
                <w:bCs/>
                <w:color w:val="auto"/>
                <w:szCs w:val="21"/>
                <w:highlight w:val="none"/>
                <w:lang w:val="en-US" w:eastAsia="zh-CN"/>
              </w:rPr>
            </w:pPr>
            <w:r>
              <w:rPr>
                <w:rFonts w:hint="default" w:ascii="Times New Roman" w:hAnsi="Times New Roman" w:eastAsia="仿宋_GB2312" w:cs="Times New Roman"/>
                <w:b/>
                <w:bCs/>
                <w:color w:val="auto"/>
                <w:szCs w:val="21"/>
                <w:highlight w:val="none"/>
                <w:lang w:val="en-US" w:eastAsia="zh-CN"/>
              </w:rPr>
              <w:t>容积率</w:t>
            </w:r>
          </w:p>
        </w:tc>
        <w:tc>
          <w:tcPr>
            <w:tcW w:w="1650" w:type="dxa"/>
            <w:vAlign w:val="center"/>
          </w:tcPr>
          <w:p>
            <w:pPr>
              <w:spacing w:line="320" w:lineRule="exact"/>
              <w:ind w:left="44" w:right="-53" w:rightChars="-25" w:hanging="44" w:hangingChars="21"/>
              <w:jc w:val="center"/>
              <w:rPr>
                <w:rFonts w:hint="default" w:ascii="Times New Roman" w:hAnsi="Times New Roman" w:eastAsia="仿宋_GB2312" w:cs="Times New Roman"/>
                <w:b/>
                <w:bCs/>
                <w:color w:val="auto"/>
                <w:szCs w:val="21"/>
                <w:highlight w:val="none"/>
              </w:rPr>
            </w:pPr>
            <w:r>
              <w:rPr>
                <w:rFonts w:hint="default" w:ascii="Times New Roman" w:hAnsi="Times New Roman" w:eastAsia="仿宋_GB2312" w:cs="Times New Roman"/>
                <w:b/>
                <w:bCs/>
                <w:color w:val="auto"/>
                <w:szCs w:val="21"/>
                <w:highlight w:val="none"/>
              </w:rPr>
              <w:t>计容积率建筑面积</w:t>
            </w:r>
          </w:p>
        </w:tc>
        <w:tc>
          <w:tcPr>
            <w:tcW w:w="615" w:type="dxa"/>
            <w:vAlign w:val="center"/>
          </w:tcPr>
          <w:p>
            <w:pPr>
              <w:autoSpaceDE w:val="0"/>
              <w:autoSpaceDN w:val="0"/>
              <w:adjustRightInd w:val="0"/>
              <w:spacing w:line="240" w:lineRule="exact"/>
              <w:jc w:val="center"/>
              <w:rPr>
                <w:rFonts w:hint="default" w:ascii="Times New Roman" w:hAnsi="Times New Roman" w:eastAsia="仿宋_GB2312" w:cs="Times New Roman"/>
                <w:b/>
                <w:bCs/>
                <w:color w:val="auto"/>
                <w:highlight w:val="none"/>
                <w:lang w:eastAsia="zh-CN"/>
              </w:rPr>
            </w:pPr>
            <w:r>
              <w:rPr>
                <w:rFonts w:hint="default" w:ascii="Times New Roman" w:hAnsi="Times New Roman" w:eastAsia="仿宋_GB2312" w:cs="Times New Roman"/>
                <w:b/>
                <w:bCs/>
                <w:color w:val="auto"/>
                <w:highlight w:val="none"/>
                <w:lang w:eastAsia="zh-CN"/>
              </w:rPr>
              <w:t>绿地率</w:t>
            </w:r>
          </w:p>
        </w:tc>
        <w:tc>
          <w:tcPr>
            <w:tcW w:w="1485" w:type="dxa"/>
            <w:vAlign w:val="center"/>
          </w:tcPr>
          <w:p>
            <w:pPr>
              <w:autoSpaceDE w:val="0"/>
              <w:autoSpaceDN w:val="0"/>
              <w:adjustRightInd w:val="0"/>
              <w:spacing w:line="240" w:lineRule="exact"/>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仿宋_GB2312" w:cs="Times New Roman"/>
                <w:b/>
                <w:color w:val="auto"/>
                <w:szCs w:val="21"/>
                <w:highlight w:val="none"/>
                <w:lang w:eastAsia="zh-CN"/>
              </w:rPr>
              <w:t>机动车停车位（个）</w:t>
            </w:r>
          </w:p>
        </w:tc>
        <w:tc>
          <w:tcPr>
            <w:tcW w:w="1080" w:type="dxa"/>
            <w:vAlign w:val="center"/>
          </w:tcPr>
          <w:p>
            <w:pPr>
              <w:autoSpaceDE w:val="0"/>
              <w:autoSpaceDN w:val="0"/>
              <w:adjustRightInd w:val="0"/>
              <w:spacing w:line="240" w:lineRule="exact"/>
              <w:jc w:val="center"/>
              <w:rPr>
                <w:rFonts w:hint="default" w:ascii="Times New Roman" w:hAnsi="Times New Roman" w:eastAsia="仿宋_GB2312" w:cs="Times New Roman"/>
                <w:b/>
                <w:bCs/>
                <w:color w:val="auto"/>
                <w:highlight w:val="none"/>
              </w:rPr>
            </w:pPr>
            <w:r>
              <w:rPr>
                <w:rFonts w:hint="default" w:ascii="Times New Roman" w:hAnsi="Times New Roman" w:eastAsia="仿宋_GB2312" w:cs="Times New Roman"/>
                <w:b/>
                <w:bCs/>
                <w:color w:val="auto"/>
                <w:szCs w:val="21"/>
                <w:highlight w:val="none"/>
              </w:rPr>
              <w:t>适建性</w:t>
            </w:r>
          </w:p>
        </w:tc>
        <w:tc>
          <w:tcPr>
            <w:tcW w:w="1140" w:type="dxa"/>
            <w:vAlign w:val="center"/>
          </w:tcPr>
          <w:p>
            <w:pPr>
              <w:autoSpaceDE w:val="0"/>
              <w:autoSpaceDN w:val="0"/>
              <w:adjustRightInd w:val="0"/>
              <w:spacing w:line="240" w:lineRule="exact"/>
              <w:jc w:val="center"/>
              <w:rPr>
                <w:rFonts w:hint="default" w:ascii="Times New Roman" w:hAnsi="Times New Roman" w:eastAsia="仿宋_GB2312" w:cs="Times New Roman"/>
                <w:b/>
                <w:bCs/>
                <w:color w:val="auto"/>
                <w:highlight w:val="none"/>
              </w:rPr>
            </w:pPr>
            <w:r>
              <w:rPr>
                <w:rFonts w:hint="default" w:ascii="Times New Roman" w:hAnsi="Times New Roman" w:eastAsia="仿宋_GB2312" w:cs="Times New Roman"/>
                <w:b/>
                <w:bCs/>
                <w:color w:val="auto"/>
                <w:highlight w:val="none"/>
              </w:rPr>
              <w:t>出让年限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6" w:hRule="atLeast"/>
          <w:jc w:val="center"/>
        </w:trPr>
        <w:tc>
          <w:tcPr>
            <w:tcW w:w="1235" w:type="dxa"/>
            <w:vAlign w:val="center"/>
          </w:tcPr>
          <w:p>
            <w:pPr>
              <w:adjustRightInd w:val="0"/>
              <w:snapToGrid w:val="0"/>
              <w:spacing w:line="320" w:lineRule="exact"/>
              <w:jc w:val="center"/>
              <w:rPr>
                <w:rFonts w:hint="eastAsia" w:ascii="Times New Roman" w:hAnsi="Times New Roman" w:eastAsia="仿宋_GB2312" w:cs="Times New Roman"/>
                <w:b/>
                <w:bCs/>
                <w:color w:val="auto"/>
                <w:highlight w:val="none"/>
                <w:lang w:val="en-US" w:eastAsia="zh-CN"/>
              </w:rPr>
            </w:pPr>
            <w:r>
              <w:rPr>
                <w:rFonts w:hint="eastAsia" w:ascii="Times New Roman" w:hAnsi="Times New Roman" w:eastAsia="仿宋_GB2312" w:cs="Times New Roman"/>
                <w:b/>
                <w:bCs/>
                <w:color w:val="auto"/>
                <w:highlight w:val="none"/>
                <w:lang w:val="en-US" w:eastAsia="zh-CN"/>
              </w:rPr>
              <w:t>GP2022-25</w:t>
            </w:r>
          </w:p>
        </w:tc>
        <w:tc>
          <w:tcPr>
            <w:tcW w:w="1235"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eastAsia" w:eastAsia="仿宋_GB2312" w:cs="Times New Roman"/>
                <w:b/>
                <w:bCs/>
                <w:color w:val="auto"/>
                <w:highlight w:val="none"/>
                <w:lang w:val="en-US" w:eastAsia="zh-CN"/>
              </w:rPr>
              <w:t>惠州市惠城区</w:t>
            </w:r>
            <w:r>
              <w:rPr>
                <w:rFonts w:hint="eastAsia" w:ascii="Times New Roman" w:hAnsi="Times New Roman" w:eastAsia="仿宋_GB2312" w:cs="Times New Roman"/>
                <w:b/>
                <w:bCs/>
                <w:color w:val="auto"/>
                <w:highlight w:val="none"/>
                <w:lang w:val="en-US" w:eastAsia="zh-CN"/>
              </w:rPr>
              <w:t>水口西区JD67-09</w:t>
            </w:r>
            <w:r>
              <w:rPr>
                <w:rFonts w:hint="eastAsia" w:eastAsia="仿宋_GB2312" w:cs="Times New Roman"/>
                <w:b/>
                <w:bCs/>
                <w:color w:val="auto"/>
                <w:highlight w:val="none"/>
                <w:lang w:val="en-US" w:eastAsia="zh-CN"/>
              </w:rPr>
              <w:t>地块（地下空间）</w:t>
            </w:r>
          </w:p>
        </w:tc>
        <w:tc>
          <w:tcPr>
            <w:tcW w:w="1140"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eastAsia" w:ascii="Times New Roman" w:hAnsi="Times New Roman" w:eastAsia="仿宋_GB2312" w:cs="Times New Roman"/>
                <w:b/>
                <w:bCs/>
                <w:color w:val="auto"/>
                <w:highlight w:val="none"/>
                <w:lang w:val="en-US" w:eastAsia="zh-CN"/>
              </w:rPr>
              <w:t>JD67-09</w:t>
            </w:r>
          </w:p>
        </w:tc>
        <w:tc>
          <w:tcPr>
            <w:tcW w:w="1148" w:type="dxa"/>
            <w:tcMar>
              <w:left w:w="0" w:type="dxa"/>
              <w:right w:w="0" w:type="dxa"/>
            </w:tcMar>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eastAsia" w:ascii="Times New Roman" w:hAnsi="Times New Roman" w:eastAsia="仿宋_GB2312" w:cs="Times New Roman"/>
                <w:b/>
                <w:bCs/>
                <w:color w:val="auto"/>
                <w:highlight w:val="none"/>
                <w:lang w:val="en-US" w:eastAsia="zh-CN"/>
              </w:rPr>
              <w:t>交通服务场站用地</w:t>
            </w:r>
          </w:p>
        </w:tc>
        <w:tc>
          <w:tcPr>
            <w:tcW w:w="1170"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eastAsia" w:ascii="Times New Roman" w:hAnsi="Times New Roman" w:eastAsia="仿宋_GB2312" w:cs="Times New Roman"/>
                <w:b/>
                <w:bCs/>
                <w:color w:val="auto"/>
                <w:highlight w:val="none"/>
                <w:lang w:val="en-US" w:eastAsia="zh-CN"/>
              </w:rPr>
              <w:t>10423</w:t>
            </w:r>
            <w:r>
              <w:rPr>
                <w:rFonts w:hint="default" w:ascii="Times New Roman" w:hAnsi="Times New Roman" w:eastAsia="仿宋_GB2312" w:cs="Times New Roman"/>
                <w:b/>
                <w:bCs/>
                <w:color w:val="auto"/>
                <w:highlight w:val="none"/>
                <w:lang w:val="en-US" w:eastAsia="zh-CN"/>
              </w:rPr>
              <w:t xml:space="preserve">㎡ </w:t>
            </w:r>
          </w:p>
        </w:tc>
        <w:tc>
          <w:tcPr>
            <w:tcW w:w="1177"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eastAsia" w:ascii="Times New Roman" w:hAnsi="Times New Roman" w:eastAsia="仿宋_GB2312" w:cs="Times New Roman"/>
                <w:b/>
                <w:bCs/>
                <w:color w:val="auto"/>
                <w:highlight w:val="none"/>
                <w:lang w:val="en-US" w:eastAsia="zh-CN"/>
              </w:rPr>
              <w:t>4121.82㎡</w:t>
            </w:r>
          </w:p>
        </w:tc>
        <w:tc>
          <w:tcPr>
            <w:tcW w:w="900"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eastAsia" w:ascii="Times New Roman" w:hAnsi="Times New Roman" w:eastAsia="仿宋_GB2312" w:cs="Times New Roman"/>
                <w:b/>
                <w:bCs/>
                <w:color w:val="auto"/>
                <w:highlight w:val="none"/>
                <w:lang w:eastAsia="zh-CN"/>
              </w:rPr>
              <w:t>—</w:t>
            </w:r>
          </w:p>
        </w:tc>
        <w:tc>
          <w:tcPr>
            <w:tcW w:w="750"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eastAsia" w:ascii="Times New Roman" w:hAnsi="Times New Roman" w:eastAsia="仿宋_GB2312" w:cs="Times New Roman"/>
                <w:b/>
                <w:bCs/>
                <w:color w:val="auto"/>
                <w:highlight w:val="none"/>
                <w:lang w:val="en-US" w:eastAsia="zh-CN"/>
              </w:rPr>
              <w:t>≤0.08</w:t>
            </w:r>
          </w:p>
        </w:tc>
        <w:tc>
          <w:tcPr>
            <w:tcW w:w="1650"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eastAsia" w:ascii="Times New Roman" w:hAnsi="Times New Roman" w:eastAsia="仿宋_GB2312" w:cs="Times New Roman"/>
                <w:b/>
                <w:bCs/>
                <w:color w:val="auto"/>
                <w:highlight w:val="none"/>
                <w:lang w:val="en-US" w:eastAsia="zh-CN"/>
              </w:rPr>
              <w:t>≤834㎡（其中配套设施≥155㎡）</w:t>
            </w:r>
          </w:p>
        </w:tc>
        <w:tc>
          <w:tcPr>
            <w:tcW w:w="615"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eastAsia" w:ascii="Times New Roman" w:hAnsi="Times New Roman" w:eastAsia="仿宋_GB2312" w:cs="Times New Roman"/>
                <w:b/>
                <w:bCs/>
                <w:color w:val="auto"/>
                <w:highlight w:val="none"/>
                <w:lang w:eastAsia="zh-CN"/>
              </w:rPr>
              <w:t>—</w:t>
            </w:r>
          </w:p>
        </w:tc>
        <w:tc>
          <w:tcPr>
            <w:tcW w:w="1485"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eastAsia" w:ascii="Times New Roman" w:hAnsi="Times New Roman" w:eastAsia="仿宋_GB2312" w:cs="Times New Roman"/>
                <w:b/>
                <w:bCs/>
                <w:color w:val="auto"/>
                <w:highlight w:val="none"/>
                <w:lang w:val="en-US" w:eastAsia="zh-CN"/>
              </w:rPr>
              <w:t>地下公共停车位</w:t>
            </w:r>
            <w:r>
              <w:rPr>
                <w:rFonts w:hint="eastAsia" w:eastAsia="仿宋_GB2312" w:cs="Times New Roman"/>
                <w:b/>
                <w:bCs/>
                <w:color w:val="auto"/>
                <w:highlight w:val="none"/>
                <w:lang w:val="en-US" w:eastAsia="zh-CN"/>
              </w:rPr>
              <w:t>：</w:t>
            </w:r>
            <w:r>
              <w:rPr>
                <w:rFonts w:hint="eastAsia" w:ascii="Times New Roman" w:hAnsi="Times New Roman" w:eastAsia="仿宋_GB2312" w:cs="Times New Roman"/>
                <w:b/>
                <w:bCs/>
                <w:color w:val="auto"/>
                <w:highlight w:val="none"/>
                <w:lang w:val="en-US" w:eastAsia="zh-CN"/>
              </w:rPr>
              <w:t>200-220</w:t>
            </w:r>
          </w:p>
        </w:tc>
        <w:tc>
          <w:tcPr>
            <w:tcW w:w="1080"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eastAsia" w:ascii="Times New Roman" w:hAnsi="Times New Roman" w:eastAsia="仿宋_GB2312" w:cs="Times New Roman"/>
                <w:b/>
                <w:bCs/>
                <w:color w:val="auto"/>
                <w:highlight w:val="none"/>
                <w:lang w:val="en-US" w:eastAsia="zh-CN"/>
              </w:rPr>
              <w:t>公园、停车库及配套设施</w:t>
            </w:r>
          </w:p>
        </w:tc>
        <w:tc>
          <w:tcPr>
            <w:tcW w:w="1140" w:type="dxa"/>
            <w:vAlign w:val="center"/>
          </w:tcPr>
          <w:p>
            <w:pPr>
              <w:adjustRightInd w:val="0"/>
              <w:snapToGrid w:val="0"/>
              <w:spacing w:line="320" w:lineRule="exact"/>
              <w:jc w:val="center"/>
              <w:rPr>
                <w:rFonts w:hint="default" w:ascii="Times New Roman" w:hAnsi="Times New Roman" w:eastAsia="仿宋_GB2312" w:cs="Times New Roman"/>
                <w:b/>
                <w:bCs/>
                <w:color w:val="auto"/>
                <w:highlight w:val="none"/>
                <w:lang w:val="en-US" w:eastAsia="zh-CN"/>
              </w:rPr>
            </w:pPr>
            <w:r>
              <w:rPr>
                <w:rFonts w:hint="eastAsia" w:ascii="Times New Roman" w:hAnsi="Times New Roman" w:eastAsia="仿宋_GB2312" w:cs="Times New Roman"/>
                <w:b/>
                <w:bCs/>
                <w:color w:val="auto"/>
                <w:highlight w:val="none"/>
                <w:lang w:val="en-US" w:eastAsia="zh-CN"/>
              </w:rPr>
              <w:t>交通服务场站用地50年</w:t>
            </w:r>
          </w:p>
        </w:tc>
      </w:tr>
    </w:tbl>
    <w:p>
      <w:pPr>
        <w:pStyle w:val="21"/>
        <w:ind w:firstLine="0"/>
        <w:rPr>
          <w:rFonts w:hint="default" w:ascii="Times New Roman" w:hAnsi="Times New Roman" w:eastAsia="仿宋" w:cs="Times New Roman"/>
          <w:color w:val="auto"/>
          <w:sz w:val="32"/>
          <w:szCs w:val="32"/>
        </w:rPr>
      </w:pPr>
    </w:p>
    <w:sectPr>
      <w:footerReference r:id="rId5" w:type="default"/>
      <w:pgSz w:w="16838" w:h="11906" w:orient="landscape"/>
      <w:pgMar w:top="1560" w:right="1440" w:bottom="1133" w:left="144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B8403AB-067A-46EA-BDBB-3E3AE1C2E32A}"/>
  </w:font>
  <w:font w:name="Arial">
    <w:panose1 w:val="020B0604020202020204"/>
    <w:charset w:val="01"/>
    <w:family w:val="swiss"/>
    <w:pitch w:val="default"/>
    <w:sig w:usb0="E0002EFF" w:usb1="C000785B" w:usb2="00000009" w:usb3="00000000" w:csb0="400001FF" w:csb1="FFFF0000"/>
    <w:embedRegular r:id="rId2" w:fontKey="{CA3BEBDE-1BFD-49F0-A10A-85F2CD540F75}"/>
  </w:font>
  <w:font w:name="黑体">
    <w:panose1 w:val="02010609060101010101"/>
    <w:charset w:val="86"/>
    <w:family w:val="auto"/>
    <w:pitch w:val="default"/>
    <w:sig w:usb0="800002BF" w:usb1="38CF7CFA" w:usb2="00000016" w:usb3="00000000" w:csb0="00040001" w:csb1="00000000"/>
    <w:embedRegular r:id="rId3" w:fontKey="{9826C1FF-A510-4A98-9A30-0DE9368F8870}"/>
  </w:font>
  <w:font w:name="Courier New">
    <w:panose1 w:val="02070309020205020404"/>
    <w:charset w:val="01"/>
    <w:family w:val="modern"/>
    <w:pitch w:val="default"/>
    <w:sig w:usb0="E0002EFF" w:usb1="C0007843" w:usb2="00000009" w:usb3="00000000" w:csb0="400001FF" w:csb1="FFFF0000"/>
    <w:embedRegular r:id="rId4" w:fontKey="{5B363983-2DED-4228-876A-038EC2A72E49}"/>
  </w:font>
  <w:font w:name="Symbol">
    <w:panose1 w:val="05050102010706020507"/>
    <w:charset w:val="02"/>
    <w:family w:val="roman"/>
    <w:pitch w:val="default"/>
    <w:sig w:usb0="00000000" w:usb1="00000000" w:usb2="00000000" w:usb3="00000000" w:csb0="80000000" w:csb1="00000000"/>
    <w:embedRegular r:id="rId5" w:fontKey="{A85AF071-CD57-4B1C-9753-C731CC9D3B5A}"/>
  </w:font>
  <w:font w:name="Calibri">
    <w:panose1 w:val="020F0502020204030204"/>
    <w:charset w:val="00"/>
    <w:family w:val="swiss"/>
    <w:pitch w:val="default"/>
    <w:sig w:usb0="E4002EFF" w:usb1="C000247B" w:usb2="00000009" w:usb3="00000000" w:csb0="200001FF" w:csb1="00000000"/>
    <w:embedRegular r:id="rId6" w:fontKey="{0CD38679-E416-482C-9F57-1D859934AEAD}"/>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7" w:fontKey="{831238C9-7150-4F70-8A23-D8CB9A8112D7}"/>
  </w:font>
  <w:font w:name="华文中宋">
    <w:panose1 w:val="02010600040101010101"/>
    <w:charset w:val="86"/>
    <w:family w:val="auto"/>
    <w:pitch w:val="default"/>
    <w:sig w:usb0="00000287" w:usb1="080F0000" w:usb2="00000000" w:usb3="00000000" w:csb0="0004009F" w:csb1="DFD70000"/>
    <w:embedRegular r:id="rId8" w:fontKey="{EDD9BB8D-5CAF-4CC1-BF5D-CC719E2E57E6}"/>
  </w:font>
  <w:font w:name="Batang">
    <w:panose1 w:val="02030600000101010101"/>
    <w:charset w:val="81"/>
    <w:family w:val="roman"/>
    <w:pitch w:val="default"/>
    <w:sig w:usb0="B00002AF" w:usb1="69D77CFB" w:usb2="00000030" w:usb3="00000000" w:csb0="4008009F" w:csb1="DFD70000"/>
  </w:font>
  <w:font w:name="方正小标宋简体">
    <w:panose1 w:val="03000509000000000000"/>
    <w:charset w:val="86"/>
    <w:family w:val="script"/>
    <w:pitch w:val="default"/>
    <w:sig w:usb0="00000001" w:usb1="080E0000" w:usb2="00000000" w:usb3="00000000" w:csb0="00040000" w:csb1="00000000"/>
    <w:embedRegular r:id="rId9" w:fontKey="{DB6DF66E-215E-4AB1-9BF6-9B672EF71245}"/>
  </w:font>
  <w:font w:name="华文楷体">
    <w:panose1 w:val="02010600040101010101"/>
    <w:charset w:val="86"/>
    <w:family w:val="auto"/>
    <w:pitch w:val="default"/>
    <w:sig w:usb0="00000287" w:usb1="080F0000" w:usb2="00000000" w:usb3="00000000" w:csb0="0004009F" w:csb1="DFD70000"/>
    <w:embedRegular r:id="rId10" w:fontKey="{3028AAC5-928B-4BA1-B3B7-F98FB3E0D171}"/>
  </w:font>
  <w:font w:name="方正小标宋_GBK">
    <w:panose1 w:val="03000509000000000000"/>
    <w:charset w:val="86"/>
    <w:family w:val="script"/>
    <w:pitch w:val="default"/>
    <w:sig w:usb0="00000001" w:usb1="080E0000" w:usb2="00000000" w:usb3="00000000" w:csb0="00040000" w:csb1="00000000"/>
    <w:embedRegular r:id="rId11" w:fontKey="{A7FE26CA-0AAD-4FB3-9DDA-0E8E29940DB7}"/>
  </w:font>
  <w:font w:name="仿宋">
    <w:panose1 w:val="02010609060101010101"/>
    <w:charset w:val="86"/>
    <w:family w:val="modern"/>
    <w:pitch w:val="default"/>
    <w:sig w:usb0="800002BF" w:usb1="38CF7CFA" w:usb2="00000016" w:usb3="00000000" w:csb0="00040001" w:csb1="00000000"/>
    <w:embedRegular r:id="rId12" w:fontKey="{A50B7F39-6537-47DA-AC9A-A85E719C35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Style w:val="15"/>
                              <w:rFonts w:hint="eastAsia"/>
                              <w:sz w:val="28"/>
                              <w:szCs w:val="28"/>
                            </w:rPr>
                          </w:pPr>
                          <w:r>
                            <w:rPr>
                              <w:rStyle w:val="15"/>
                              <w:rFonts w:hint="eastAsia"/>
                              <w:sz w:val="28"/>
                              <w:szCs w:val="28"/>
                            </w:rPr>
                            <w:t xml:space="preserve">— </w:t>
                          </w:r>
                          <w:r>
                            <w:rPr>
                              <w:sz w:val="28"/>
                              <w:szCs w:val="28"/>
                            </w:rPr>
                            <w:fldChar w:fldCharType="begin"/>
                          </w:r>
                          <w:r>
                            <w:rPr>
                              <w:rStyle w:val="15"/>
                              <w:sz w:val="28"/>
                              <w:szCs w:val="28"/>
                            </w:rPr>
                            <w:instrText xml:space="preserve">PAGE  </w:instrText>
                          </w:r>
                          <w:r>
                            <w:rPr>
                              <w:sz w:val="28"/>
                              <w:szCs w:val="28"/>
                            </w:rPr>
                            <w:fldChar w:fldCharType="separate"/>
                          </w:r>
                          <w:r>
                            <w:rPr>
                              <w:rStyle w:val="15"/>
                              <w:sz w:val="28"/>
                              <w:szCs w:val="28"/>
                            </w:rPr>
                            <w:t>11</w:t>
                          </w:r>
                          <w:r>
                            <w:rPr>
                              <w:sz w:val="28"/>
                              <w:szCs w:val="28"/>
                            </w:rPr>
                            <w:fldChar w:fldCharType="end"/>
                          </w:r>
                          <w:r>
                            <w:rPr>
                              <w:rStyle w:val="15"/>
                              <w:rFonts w:hint="eastAsia"/>
                              <w:sz w:val="28"/>
                              <w:szCs w:val="28"/>
                            </w:rPr>
                            <w:t xml:space="preserve"> —</w:t>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PewPBiwAQAA&#10;TQMAAA4AAAAAAAAAAQAgAAAAHgEAAGRycy9lMm9Eb2MueG1sUEsFBgAAAAAGAAYAWQEAAEAFAAAA&#10;AA==&#10;">
              <v:fill on="f" focussize="0,0"/>
              <v:stroke on="f"/>
              <v:imagedata o:title=""/>
              <o:lock v:ext="edit" aspectratio="f"/>
              <v:textbox inset="0mm,0mm,0mm,0mm" style="mso-fit-shape-to-text:t;">
                <w:txbxContent>
                  <w:p>
                    <w:pPr>
                      <w:pStyle w:val="9"/>
                      <w:rPr>
                        <w:rStyle w:val="15"/>
                        <w:rFonts w:hint="eastAsia"/>
                        <w:sz w:val="28"/>
                        <w:szCs w:val="28"/>
                      </w:rPr>
                    </w:pPr>
                    <w:r>
                      <w:rPr>
                        <w:rStyle w:val="15"/>
                        <w:rFonts w:hint="eastAsia"/>
                        <w:sz w:val="28"/>
                        <w:szCs w:val="28"/>
                      </w:rPr>
                      <w:t xml:space="preserve">— </w:t>
                    </w:r>
                    <w:r>
                      <w:rPr>
                        <w:sz w:val="28"/>
                        <w:szCs w:val="28"/>
                      </w:rPr>
                      <w:fldChar w:fldCharType="begin"/>
                    </w:r>
                    <w:r>
                      <w:rPr>
                        <w:rStyle w:val="15"/>
                        <w:sz w:val="28"/>
                        <w:szCs w:val="28"/>
                      </w:rPr>
                      <w:instrText xml:space="preserve">PAGE  </w:instrText>
                    </w:r>
                    <w:r>
                      <w:rPr>
                        <w:sz w:val="28"/>
                        <w:szCs w:val="28"/>
                      </w:rPr>
                      <w:fldChar w:fldCharType="separate"/>
                    </w:r>
                    <w:r>
                      <w:rPr>
                        <w:rStyle w:val="15"/>
                        <w:sz w:val="28"/>
                        <w:szCs w:val="28"/>
                      </w:rPr>
                      <w:t>11</w:t>
                    </w:r>
                    <w:r>
                      <w:rPr>
                        <w:sz w:val="28"/>
                        <w:szCs w:val="28"/>
                      </w:rPr>
                      <w:fldChar w:fldCharType="end"/>
                    </w:r>
                    <w:r>
                      <w:rPr>
                        <w:rStyle w:val="15"/>
                        <w:rFonts w:hint="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rPr>
    </w:pPr>
    <w:r>
      <w:rPr>
        <w:rStyle w:val="15"/>
        <w:rFonts w:hint="eastAsia"/>
        <w:sz w:val="28"/>
        <w:szCs w:val="28"/>
      </w:rPr>
      <w:t xml:space="preserve">— </w:t>
    </w:r>
    <w:r>
      <w:rPr>
        <w:sz w:val="28"/>
        <w:szCs w:val="28"/>
      </w:rPr>
      <w:fldChar w:fldCharType="begin"/>
    </w:r>
    <w:r>
      <w:rPr>
        <w:rStyle w:val="15"/>
        <w:sz w:val="28"/>
        <w:szCs w:val="28"/>
      </w:rPr>
      <w:instrText xml:space="preserve">PAGE  </w:instrText>
    </w:r>
    <w:r>
      <w:rPr>
        <w:sz w:val="28"/>
        <w:szCs w:val="28"/>
      </w:rPr>
      <w:fldChar w:fldCharType="separate"/>
    </w:r>
    <w:r>
      <w:rPr>
        <w:rStyle w:val="15"/>
        <w:sz w:val="28"/>
        <w:szCs w:val="28"/>
      </w:rPr>
      <w:t>11</w:t>
    </w:r>
    <w:r>
      <w:rPr>
        <w:sz w:val="28"/>
        <w:szCs w:val="28"/>
      </w:rPr>
      <w:fldChar w:fldCharType="end"/>
    </w:r>
    <w:r>
      <w:rPr>
        <w:rStyle w:val="15"/>
        <w:rFonts w:hint="eastAsia"/>
        <w:sz w:val="28"/>
        <w:szCs w:val="2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5BD82C"/>
    <w:multiLevelType w:val="singleLevel"/>
    <w:tmpl w:val="8B5BD82C"/>
    <w:lvl w:ilvl="0" w:tentative="0">
      <w:start w:val="1"/>
      <w:numFmt w:val="chineseCounting"/>
      <w:suff w:val="nothing"/>
      <w:lvlText w:val="（%1）"/>
      <w:lvlJc w:val="left"/>
      <w:rPr>
        <w:rFonts w:hint="eastAsia"/>
      </w:rPr>
    </w:lvl>
  </w:abstractNum>
  <w:abstractNum w:abstractNumId="1">
    <w:nsid w:val="A6218609"/>
    <w:multiLevelType w:val="singleLevel"/>
    <w:tmpl w:val="A6218609"/>
    <w:lvl w:ilvl="0" w:tentative="0">
      <w:start w:val="1"/>
      <w:numFmt w:val="chineseCounting"/>
      <w:suff w:val="nothing"/>
      <w:lvlText w:val="（%1）"/>
      <w:lvlJc w:val="left"/>
      <w:rPr>
        <w:rFonts w:hint="eastAsia"/>
      </w:rPr>
    </w:lvl>
  </w:abstractNum>
  <w:abstractNum w:abstractNumId="2">
    <w:nsid w:val="DF07AB9F"/>
    <w:multiLevelType w:val="singleLevel"/>
    <w:tmpl w:val="DF07AB9F"/>
    <w:lvl w:ilvl="0" w:tentative="0">
      <w:start w:val="1"/>
      <w:numFmt w:val="chineseCounting"/>
      <w:suff w:val="nothing"/>
      <w:lvlText w:val="（%1）"/>
      <w:lvlJc w:val="left"/>
      <w:rPr>
        <w:rFonts w:hint="eastAsia"/>
      </w:rPr>
    </w:lvl>
  </w:abstractNum>
  <w:abstractNum w:abstractNumId="3">
    <w:nsid w:val="0904E1E0"/>
    <w:multiLevelType w:val="singleLevel"/>
    <w:tmpl w:val="0904E1E0"/>
    <w:lvl w:ilvl="0" w:tentative="0">
      <w:start w:val="1"/>
      <w:numFmt w:val="chineseCounting"/>
      <w:suff w:val="nothing"/>
      <w:lvlText w:val="%1、"/>
      <w:lvlJc w:val="left"/>
      <w:rPr>
        <w:rFonts w:hint="eastAsia"/>
      </w:rPr>
    </w:lvl>
  </w:abstractNum>
  <w:abstractNum w:abstractNumId="4">
    <w:nsid w:val="10039C2E"/>
    <w:multiLevelType w:val="singleLevel"/>
    <w:tmpl w:val="10039C2E"/>
    <w:lvl w:ilvl="0" w:tentative="0">
      <w:start w:val="2"/>
      <w:numFmt w:val="chineseCounting"/>
      <w:suff w:val="nothing"/>
      <w:lvlText w:val="（%1）"/>
      <w:lvlJc w:val="left"/>
      <w:rPr>
        <w:rFonts w:hint="eastAsia"/>
      </w:rPr>
    </w:lvl>
  </w:abstractNum>
  <w:abstractNum w:abstractNumId="5">
    <w:nsid w:val="60CD4A18"/>
    <w:multiLevelType w:val="singleLevel"/>
    <w:tmpl w:val="60CD4A18"/>
    <w:lvl w:ilvl="0" w:tentative="0">
      <w:start w:val="1"/>
      <w:numFmt w:val="chineseCounting"/>
      <w:suff w:val="nothing"/>
      <w:lvlText w:val="（%1）"/>
      <w:lvlJc w:val="left"/>
      <w:rPr>
        <w:rFonts w:hint="eastAsia"/>
      </w:rPr>
    </w:lvl>
  </w:abstractNum>
  <w:num w:numId="1">
    <w:abstractNumId w:val="3"/>
  </w:num>
  <w:num w:numId="2">
    <w:abstractNumId w:val="5"/>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NlMjM5ZWY1ZDRhNDlmODFiZmIxYmU2NTAwMTUwNGYifQ=="/>
  </w:docVars>
  <w:rsids>
    <w:rsidRoot w:val="00172A27"/>
    <w:rsid w:val="00012546"/>
    <w:rsid w:val="00060529"/>
    <w:rsid w:val="000A72BA"/>
    <w:rsid w:val="00112A1B"/>
    <w:rsid w:val="00115FB2"/>
    <w:rsid w:val="00135362"/>
    <w:rsid w:val="0015169A"/>
    <w:rsid w:val="001606A0"/>
    <w:rsid w:val="001F6DC4"/>
    <w:rsid w:val="00200E3B"/>
    <w:rsid w:val="002222AC"/>
    <w:rsid w:val="00272C2D"/>
    <w:rsid w:val="00274509"/>
    <w:rsid w:val="00292528"/>
    <w:rsid w:val="00356BE6"/>
    <w:rsid w:val="00356DB6"/>
    <w:rsid w:val="003817EF"/>
    <w:rsid w:val="003828F9"/>
    <w:rsid w:val="003A5078"/>
    <w:rsid w:val="003C31D3"/>
    <w:rsid w:val="003C5545"/>
    <w:rsid w:val="003D7B7A"/>
    <w:rsid w:val="00440B26"/>
    <w:rsid w:val="0044793A"/>
    <w:rsid w:val="00500095"/>
    <w:rsid w:val="005102A3"/>
    <w:rsid w:val="00580AEF"/>
    <w:rsid w:val="00595FD5"/>
    <w:rsid w:val="005F7815"/>
    <w:rsid w:val="00633A63"/>
    <w:rsid w:val="006707EB"/>
    <w:rsid w:val="006A2C61"/>
    <w:rsid w:val="006B2A8B"/>
    <w:rsid w:val="006E089E"/>
    <w:rsid w:val="006E63E5"/>
    <w:rsid w:val="007005C5"/>
    <w:rsid w:val="00705B71"/>
    <w:rsid w:val="00711113"/>
    <w:rsid w:val="00874E68"/>
    <w:rsid w:val="0087571B"/>
    <w:rsid w:val="008763AC"/>
    <w:rsid w:val="00877C79"/>
    <w:rsid w:val="00877E94"/>
    <w:rsid w:val="008B367C"/>
    <w:rsid w:val="008C3670"/>
    <w:rsid w:val="0097202C"/>
    <w:rsid w:val="00993D7E"/>
    <w:rsid w:val="00A17423"/>
    <w:rsid w:val="00A2434E"/>
    <w:rsid w:val="00A43AA7"/>
    <w:rsid w:val="00A66611"/>
    <w:rsid w:val="00A779A2"/>
    <w:rsid w:val="00AF3A9C"/>
    <w:rsid w:val="00B17FBA"/>
    <w:rsid w:val="00B25650"/>
    <w:rsid w:val="00B2719A"/>
    <w:rsid w:val="00BA5BED"/>
    <w:rsid w:val="00BD6318"/>
    <w:rsid w:val="00C92607"/>
    <w:rsid w:val="00C958CE"/>
    <w:rsid w:val="00C979FE"/>
    <w:rsid w:val="00CC5821"/>
    <w:rsid w:val="00D3270B"/>
    <w:rsid w:val="00D5320B"/>
    <w:rsid w:val="00D71B1B"/>
    <w:rsid w:val="00E167B9"/>
    <w:rsid w:val="00E244F6"/>
    <w:rsid w:val="00EB0007"/>
    <w:rsid w:val="00EB5C1C"/>
    <w:rsid w:val="00ED4229"/>
    <w:rsid w:val="00F12314"/>
    <w:rsid w:val="00F747EF"/>
    <w:rsid w:val="00F853A3"/>
    <w:rsid w:val="00FA5124"/>
    <w:rsid w:val="00FD5275"/>
    <w:rsid w:val="01892462"/>
    <w:rsid w:val="019D562A"/>
    <w:rsid w:val="02D70C02"/>
    <w:rsid w:val="03024EF5"/>
    <w:rsid w:val="03195159"/>
    <w:rsid w:val="03881C78"/>
    <w:rsid w:val="03BD1BAE"/>
    <w:rsid w:val="040A20B6"/>
    <w:rsid w:val="040B296D"/>
    <w:rsid w:val="042F666F"/>
    <w:rsid w:val="04700CB8"/>
    <w:rsid w:val="04E562EB"/>
    <w:rsid w:val="04FA03B0"/>
    <w:rsid w:val="053D3BC4"/>
    <w:rsid w:val="05421031"/>
    <w:rsid w:val="0575341F"/>
    <w:rsid w:val="057E07C6"/>
    <w:rsid w:val="05886E41"/>
    <w:rsid w:val="061910AD"/>
    <w:rsid w:val="06274C91"/>
    <w:rsid w:val="06B712C9"/>
    <w:rsid w:val="06E63D28"/>
    <w:rsid w:val="06E75817"/>
    <w:rsid w:val="06F72E4D"/>
    <w:rsid w:val="07121FCA"/>
    <w:rsid w:val="074632DF"/>
    <w:rsid w:val="074A2E82"/>
    <w:rsid w:val="07705CAD"/>
    <w:rsid w:val="07FE01EE"/>
    <w:rsid w:val="080D1CB5"/>
    <w:rsid w:val="082F691D"/>
    <w:rsid w:val="088553AB"/>
    <w:rsid w:val="08A84522"/>
    <w:rsid w:val="08B16A10"/>
    <w:rsid w:val="08C92B85"/>
    <w:rsid w:val="08CE2242"/>
    <w:rsid w:val="08DA2FCC"/>
    <w:rsid w:val="09987A56"/>
    <w:rsid w:val="09EB1350"/>
    <w:rsid w:val="09F90D0D"/>
    <w:rsid w:val="0A2366D9"/>
    <w:rsid w:val="0A5C09EE"/>
    <w:rsid w:val="0ADE0215"/>
    <w:rsid w:val="0AEC3BD3"/>
    <w:rsid w:val="0B164844"/>
    <w:rsid w:val="0B4C2DF5"/>
    <w:rsid w:val="0B6160F7"/>
    <w:rsid w:val="0B8326A4"/>
    <w:rsid w:val="0B9B7C60"/>
    <w:rsid w:val="0C3C0AC4"/>
    <w:rsid w:val="0C4156F5"/>
    <w:rsid w:val="0D021F85"/>
    <w:rsid w:val="0D9E4B96"/>
    <w:rsid w:val="0DBD7CEC"/>
    <w:rsid w:val="0DD029DD"/>
    <w:rsid w:val="0E6F3982"/>
    <w:rsid w:val="0E7A485B"/>
    <w:rsid w:val="0E9C141F"/>
    <w:rsid w:val="0E9E79B5"/>
    <w:rsid w:val="0EAB1FCA"/>
    <w:rsid w:val="0F102CC4"/>
    <w:rsid w:val="0F3A4CC6"/>
    <w:rsid w:val="0FB0170F"/>
    <w:rsid w:val="0FFE6BF3"/>
    <w:rsid w:val="10136B5B"/>
    <w:rsid w:val="10327CB3"/>
    <w:rsid w:val="103435D2"/>
    <w:rsid w:val="103B1D18"/>
    <w:rsid w:val="103F06DB"/>
    <w:rsid w:val="10512C11"/>
    <w:rsid w:val="1058063F"/>
    <w:rsid w:val="10B3744D"/>
    <w:rsid w:val="10D8131B"/>
    <w:rsid w:val="1109033E"/>
    <w:rsid w:val="114C0484"/>
    <w:rsid w:val="1155638A"/>
    <w:rsid w:val="11907689"/>
    <w:rsid w:val="11B44AA1"/>
    <w:rsid w:val="11EF609E"/>
    <w:rsid w:val="12210F1F"/>
    <w:rsid w:val="12231BBF"/>
    <w:rsid w:val="122B2861"/>
    <w:rsid w:val="12744159"/>
    <w:rsid w:val="12A46D13"/>
    <w:rsid w:val="12B227AB"/>
    <w:rsid w:val="13371B21"/>
    <w:rsid w:val="141B7C72"/>
    <w:rsid w:val="146F55DD"/>
    <w:rsid w:val="14F6677D"/>
    <w:rsid w:val="151E5550"/>
    <w:rsid w:val="15381415"/>
    <w:rsid w:val="154C727C"/>
    <w:rsid w:val="157B4799"/>
    <w:rsid w:val="15C54AE8"/>
    <w:rsid w:val="164431E7"/>
    <w:rsid w:val="16881543"/>
    <w:rsid w:val="171952CF"/>
    <w:rsid w:val="173C100D"/>
    <w:rsid w:val="173F3759"/>
    <w:rsid w:val="179A37FF"/>
    <w:rsid w:val="179B32EF"/>
    <w:rsid w:val="17CE0776"/>
    <w:rsid w:val="17D26762"/>
    <w:rsid w:val="180725AD"/>
    <w:rsid w:val="18510B15"/>
    <w:rsid w:val="18594714"/>
    <w:rsid w:val="18840AD3"/>
    <w:rsid w:val="18E84F30"/>
    <w:rsid w:val="18F45835"/>
    <w:rsid w:val="19074ED5"/>
    <w:rsid w:val="1965042A"/>
    <w:rsid w:val="19734BF0"/>
    <w:rsid w:val="1AA6466A"/>
    <w:rsid w:val="1AA8271B"/>
    <w:rsid w:val="1AAE128F"/>
    <w:rsid w:val="1ADC7C4E"/>
    <w:rsid w:val="1AFD2137"/>
    <w:rsid w:val="1B6D2FB1"/>
    <w:rsid w:val="1B8100C5"/>
    <w:rsid w:val="1BF33939"/>
    <w:rsid w:val="1C020F97"/>
    <w:rsid w:val="1C0B3CC3"/>
    <w:rsid w:val="1C2F2F4F"/>
    <w:rsid w:val="1C730FDE"/>
    <w:rsid w:val="1D4B29A3"/>
    <w:rsid w:val="1D4E0007"/>
    <w:rsid w:val="1D5344DD"/>
    <w:rsid w:val="1D5F4341"/>
    <w:rsid w:val="1D650077"/>
    <w:rsid w:val="1D7D46A5"/>
    <w:rsid w:val="1DA5458D"/>
    <w:rsid w:val="1DA96935"/>
    <w:rsid w:val="1DE27913"/>
    <w:rsid w:val="1E24482A"/>
    <w:rsid w:val="1E342C3D"/>
    <w:rsid w:val="1E4B3080"/>
    <w:rsid w:val="1E5A641D"/>
    <w:rsid w:val="1ED64838"/>
    <w:rsid w:val="1EE155E2"/>
    <w:rsid w:val="1F3D1B1E"/>
    <w:rsid w:val="1F5676CC"/>
    <w:rsid w:val="1F58398F"/>
    <w:rsid w:val="1F5C33A4"/>
    <w:rsid w:val="1FB10E61"/>
    <w:rsid w:val="203C781B"/>
    <w:rsid w:val="20400893"/>
    <w:rsid w:val="207165DB"/>
    <w:rsid w:val="20FC7060"/>
    <w:rsid w:val="212F3833"/>
    <w:rsid w:val="215F4E1C"/>
    <w:rsid w:val="216D6205"/>
    <w:rsid w:val="217D4394"/>
    <w:rsid w:val="21E46981"/>
    <w:rsid w:val="21FA5286"/>
    <w:rsid w:val="2204550A"/>
    <w:rsid w:val="221C344E"/>
    <w:rsid w:val="22D407B4"/>
    <w:rsid w:val="22F442F8"/>
    <w:rsid w:val="233C2922"/>
    <w:rsid w:val="23952D50"/>
    <w:rsid w:val="23962F28"/>
    <w:rsid w:val="23DC7EA1"/>
    <w:rsid w:val="23E129DA"/>
    <w:rsid w:val="24976F38"/>
    <w:rsid w:val="249A2C0B"/>
    <w:rsid w:val="24D40A88"/>
    <w:rsid w:val="252009CE"/>
    <w:rsid w:val="252D1ED8"/>
    <w:rsid w:val="25876A3C"/>
    <w:rsid w:val="25AF6927"/>
    <w:rsid w:val="261070C9"/>
    <w:rsid w:val="261B4309"/>
    <w:rsid w:val="264628D2"/>
    <w:rsid w:val="26B947C5"/>
    <w:rsid w:val="26BA6204"/>
    <w:rsid w:val="27446D6E"/>
    <w:rsid w:val="2759519F"/>
    <w:rsid w:val="279B3DC6"/>
    <w:rsid w:val="27D20C8B"/>
    <w:rsid w:val="28141E1B"/>
    <w:rsid w:val="28C72F73"/>
    <w:rsid w:val="28E830B4"/>
    <w:rsid w:val="292F4A4F"/>
    <w:rsid w:val="29455937"/>
    <w:rsid w:val="294851FE"/>
    <w:rsid w:val="29725C61"/>
    <w:rsid w:val="29816FC4"/>
    <w:rsid w:val="299F1664"/>
    <w:rsid w:val="2AE72846"/>
    <w:rsid w:val="2B194B98"/>
    <w:rsid w:val="2B5E6193"/>
    <w:rsid w:val="2BA50303"/>
    <w:rsid w:val="2BA51DE4"/>
    <w:rsid w:val="2BEE3F5A"/>
    <w:rsid w:val="2CE701FA"/>
    <w:rsid w:val="2D4B3392"/>
    <w:rsid w:val="2D5C2342"/>
    <w:rsid w:val="2D7221EA"/>
    <w:rsid w:val="2D8015AC"/>
    <w:rsid w:val="2D8A2C4C"/>
    <w:rsid w:val="2DC85DBF"/>
    <w:rsid w:val="2DD10399"/>
    <w:rsid w:val="2E2F3912"/>
    <w:rsid w:val="2E34052C"/>
    <w:rsid w:val="2E455DCD"/>
    <w:rsid w:val="2E4C1DDA"/>
    <w:rsid w:val="2E844C8F"/>
    <w:rsid w:val="2F35155F"/>
    <w:rsid w:val="2F412AC4"/>
    <w:rsid w:val="2F516B8E"/>
    <w:rsid w:val="2F6617C7"/>
    <w:rsid w:val="3088078B"/>
    <w:rsid w:val="30984D0E"/>
    <w:rsid w:val="30BF0C9F"/>
    <w:rsid w:val="30E12AEA"/>
    <w:rsid w:val="310C2D41"/>
    <w:rsid w:val="317F4F49"/>
    <w:rsid w:val="31C53FA8"/>
    <w:rsid w:val="31D25E87"/>
    <w:rsid w:val="32011F47"/>
    <w:rsid w:val="32842AE6"/>
    <w:rsid w:val="330D0DEA"/>
    <w:rsid w:val="33A22B8D"/>
    <w:rsid w:val="33B96EAD"/>
    <w:rsid w:val="33F65D1B"/>
    <w:rsid w:val="34252B59"/>
    <w:rsid w:val="34780B0C"/>
    <w:rsid w:val="34B25E37"/>
    <w:rsid w:val="350573CF"/>
    <w:rsid w:val="356571BF"/>
    <w:rsid w:val="35885523"/>
    <w:rsid w:val="35A95B52"/>
    <w:rsid w:val="35E32D3C"/>
    <w:rsid w:val="361C761A"/>
    <w:rsid w:val="36326E3E"/>
    <w:rsid w:val="36966290"/>
    <w:rsid w:val="36F86E62"/>
    <w:rsid w:val="37701DBA"/>
    <w:rsid w:val="37E01C29"/>
    <w:rsid w:val="37E43A32"/>
    <w:rsid w:val="382A2178"/>
    <w:rsid w:val="385E0E12"/>
    <w:rsid w:val="38E5116D"/>
    <w:rsid w:val="38FA4DF0"/>
    <w:rsid w:val="39065649"/>
    <w:rsid w:val="396A5393"/>
    <w:rsid w:val="39DC5BFD"/>
    <w:rsid w:val="3A016FC1"/>
    <w:rsid w:val="3A08040D"/>
    <w:rsid w:val="3A916C1F"/>
    <w:rsid w:val="3AB132EF"/>
    <w:rsid w:val="3AD84ED2"/>
    <w:rsid w:val="3AE212EA"/>
    <w:rsid w:val="3AFE2182"/>
    <w:rsid w:val="3B4B5999"/>
    <w:rsid w:val="3B9F72A2"/>
    <w:rsid w:val="3BAC26DC"/>
    <w:rsid w:val="3BE4556B"/>
    <w:rsid w:val="3C0F6B8E"/>
    <w:rsid w:val="3C27636D"/>
    <w:rsid w:val="3C6B0B9A"/>
    <w:rsid w:val="3CC62F17"/>
    <w:rsid w:val="3D4855A0"/>
    <w:rsid w:val="3D5C1DC0"/>
    <w:rsid w:val="3D6A3743"/>
    <w:rsid w:val="3DD70781"/>
    <w:rsid w:val="3E153566"/>
    <w:rsid w:val="3F2565C9"/>
    <w:rsid w:val="3F3217DA"/>
    <w:rsid w:val="3F716B67"/>
    <w:rsid w:val="3FE57DC9"/>
    <w:rsid w:val="3FFB2B83"/>
    <w:rsid w:val="408B63EC"/>
    <w:rsid w:val="40E26E1C"/>
    <w:rsid w:val="411C77DE"/>
    <w:rsid w:val="413B4C25"/>
    <w:rsid w:val="41641009"/>
    <w:rsid w:val="418D1A52"/>
    <w:rsid w:val="41AF464B"/>
    <w:rsid w:val="41FC0817"/>
    <w:rsid w:val="42376092"/>
    <w:rsid w:val="42746213"/>
    <w:rsid w:val="42CE70B2"/>
    <w:rsid w:val="42F64DF0"/>
    <w:rsid w:val="42F65066"/>
    <w:rsid w:val="43087C17"/>
    <w:rsid w:val="431E39D0"/>
    <w:rsid w:val="43581783"/>
    <w:rsid w:val="43887742"/>
    <w:rsid w:val="43C442D8"/>
    <w:rsid w:val="44067922"/>
    <w:rsid w:val="44217369"/>
    <w:rsid w:val="442944F4"/>
    <w:rsid w:val="44590BD6"/>
    <w:rsid w:val="44AD5B1D"/>
    <w:rsid w:val="44E66F5C"/>
    <w:rsid w:val="44FF2B55"/>
    <w:rsid w:val="45406324"/>
    <w:rsid w:val="455F7BDC"/>
    <w:rsid w:val="459F6E66"/>
    <w:rsid w:val="45BA748F"/>
    <w:rsid w:val="45C87241"/>
    <w:rsid w:val="45FA483C"/>
    <w:rsid w:val="463C2CC0"/>
    <w:rsid w:val="46CC6BCD"/>
    <w:rsid w:val="46E8302F"/>
    <w:rsid w:val="46F8199F"/>
    <w:rsid w:val="47313766"/>
    <w:rsid w:val="47AD11C0"/>
    <w:rsid w:val="48811AC2"/>
    <w:rsid w:val="48B05202"/>
    <w:rsid w:val="48DB21F9"/>
    <w:rsid w:val="49765D4C"/>
    <w:rsid w:val="498C4520"/>
    <w:rsid w:val="498E2164"/>
    <w:rsid w:val="49E86F6D"/>
    <w:rsid w:val="4A30452E"/>
    <w:rsid w:val="4A5C147F"/>
    <w:rsid w:val="4A82123F"/>
    <w:rsid w:val="4A8832F8"/>
    <w:rsid w:val="4AB976FE"/>
    <w:rsid w:val="4B0D007D"/>
    <w:rsid w:val="4B27046D"/>
    <w:rsid w:val="4B5E3066"/>
    <w:rsid w:val="4B8544C7"/>
    <w:rsid w:val="4B9373C3"/>
    <w:rsid w:val="4C336074"/>
    <w:rsid w:val="4D0F237E"/>
    <w:rsid w:val="4D161309"/>
    <w:rsid w:val="4DA23BD4"/>
    <w:rsid w:val="4DA65574"/>
    <w:rsid w:val="4DEE7E1B"/>
    <w:rsid w:val="4E01256C"/>
    <w:rsid w:val="4E0806B4"/>
    <w:rsid w:val="4E982272"/>
    <w:rsid w:val="4EAB2C08"/>
    <w:rsid w:val="4EF26A58"/>
    <w:rsid w:val="4EFC5E53"/>
    <w:rsid w:val="4F1134B0"/>
    <w:rsid w:val="4F8521D6"/>
    <w:rsid w:val="4F9C664B"/>
    <w:rsid w:val="500111EB"/>
    <w:rsid w:val="50407C6C"/>
    <w:rsid w:val="50737326"/>
    <w:rsid w:val="50AE44E2"/>
    <w:rsid w:val="50BC6E93"/>
    <w:rsid w:val="51056B88"/>
    <w:rsid w:val="510C79DF"/>
    <w:rsid w:val="512B272D"/>
    <w:rsid w:val="51383EC6"/>
    <w:rsid w:val="51542295"/>
    <w:rsid w:val="520B348B"/>
    <w:rsid w:val="52D8447C"/>
    <w:rsid w:val="52EE0906"/>
    <w:rsid w:val="53393B7E"/>
    <w:rsid w:val="53935D29"/>
    <w:rsid w:val="53D5409C"/>
    <w:rsid w:val="53D578AD"/>
    <w:rsid w:val="540411E6"/>
    <w:rsid w:val="542A248B"/>
    <w:rsid w:val="545D6DB4"/>
    <w:rsid w:val="54D46776"/>
    <w:rsid w:val="54E42917"/>
    <w:rsid w:val="554F4B17"/>
    <w:rsid w:val="557042DF"/>
    <w:rsid w:val="55BF5546"/>
    <w:rsid w:val="5611777C"/>
    <w:rsid w:val="56352615"/>
    <w:rsid w:val="563B06E2"/>
    <w:rsid w:val="56CF69A8"/>
    <w:rsid w:val="575B7811"/>
    <w:rsid w:val="57955916"/>
    <w:rsid w:val="57B31347"/>
    <w:rsid w:val="57D40A97"/>
    <w:rsid w:val="59202A65"/>
    <w:rsid w:val="594E62AB"/>
    <w:rsid w:val="598A2B0E"/>
    <w:rsid w:val="59FC27B0"/>
    <w:rsid w:val="5A505AC2"/>
    <w:rsid w:val="5A54535C"/>
    <w:rsid w:val="5A604623"/>
    <w:rsid w:val="5A6A3DA8"/>
    <w:rsid w:val="5AB73BC5"/>
    <w:rsid w:val="5AEC22C9"/>
    <w:rsid w:val="5B664F1F"/>
    <w:rsid w:val="5B7613DD"/>
    <w:rsid w:val="5BD308DC"/>
    <w:rsid w:val="5C377ED8"/>
    <w:rsid w:val="5CE2095E"/>
    <w:rsid w:val="5D076358"/>
    <w:rsid w:val="5D68301F"/>
    <w:rsid w:val="5D9222F9"/>
    <w:rsid w:val="5E1523FE"/>
    <w:rsid w:val="5E4B20CE"/>
    <w:rsid w:val="5ED76031"/>
    <w:rsid w:val="5EE74523"/>
    <w:rsid w:val="5EEE5CC7"/>
    <w:rsid w:val="5F4678B1"/>
    <w:rsid w:val="5F492468"/>
    <w:rsid w:val="5F6D22FF"/>
    <w:rsid w:val="5FF04D8E"/>
    <w:rsid w:val="601A1C8A"/>
    <w:rsid w:val="604C1BB9"/>
    <w:rsid w:val="606953F1"/>
    <w:rsid w:val="60AB7B91"/>
    <w:rsid w:val="60B969AA"/>
    <w:rsid w:val="60BA1775"/>
    <w:rsid w:val="60C50A1C"/>
    <w:rsid w:val="614041EB"/>
    <w:rsid w:val="61656D5A"/>
    <w:rsid w:val="618C4337"/>
    <w:rsid w:val="61C66890"/>
    <w:rsid w:val="62C4428A"/>
    <w:rsid w:val="63C545A0"/>
    <w:rsid w:val="64342A5C"/>
    <w:rsid w:val="64734B19"/>
    <w:rsid w:val="647A7CF9"/>
    <w:rsid w:val="647F0DF9"/>
    <w:rsid w:val="64C302F9"/>
    <w:rsid w:val="64F80241"/>
    <w:rsid w:val="653C7D40"/>
    <w:rsid w:val="65502EAA"/>
    <w:rsid w:val="660E4EA0"/>
    <w:rsid w:val="66812C4D"/>
    <w:rsid w:val="66B90400"/>
    <w:rsid w:val="66E3635E"/>
    <w:rsid w:val="679B5C90"/>
    <w:rsid w:val="67C43A6C"/>
    <w:rsid w:val="67FE6DB4"/>
    <w:rsid w:val="6800519C"/>
    <w:rsid w:val="680D326D"/>
    <w:rsid w:val="688E7929"/>
    <w:rsid w:val="68D26DF9"/>
    <w:rsid w:val="692314EB"/>
    <w:rsid w:val="692961C4"/>
    <w:rsid w:val="6A0A6F3D"/>
    <w:rsid w:val="6AA46680"/>
    <w:rsid w:val="6AC92AD3"/>
    <w:rsid w:val="6B305E6F"/>
    <w:rsid w:val="6B477565"/>
    <w:rsid w:val="6B646B87"/>
    <w:rsid w:val="6BAD6D16"/>
    <w:rsid w:val="6CDA601A"/>
    <w:rsid w:val="6D1C261B"/>
    <w:rsid w:val="6D294C5F"/>
    <w:rsid w:val="6D6244BD"/>
    <w:rsid w:val="6D653C9D"/>
    <w:rsid w:val="6D741B03"/>
    <w:rsid w:val="6D974DC5"/>
    <w:rsid w:val="6DBB3204"/>
    <w:rsid w:val="6DE730A6"/>
    <w:rsid w:val="6E2F5F30"/>
    <w:rsid w:val="6E48491A"/>
    <w:rsid w:val="6E752B1D"/>
    <w:rsid w:val="6E80205A"/>
    <w:rsid w:val="6EA539CF"/>
    <w:rsid w:val="6EF056E3"/>
    <w:rsid w:val="6F09318B"/>
    <w:rsid w:val="6F7A7BE5"/>
    <w:rsid w:val="6FD17FB1"/>
    <w:rsid w:val="6FDA78FB"/>
    <w:rsid w:val="70266A97"/>
    <w:rsid w:val="70387C05"/>
    <w:rsid w:val="70991AC0"/>
    <w:rsid w:val="70FE1E2A"/>
    <w:rsid w:val="712E2B40"/>
    <w:rsid w:val="712E5C7A"/>
    <w:rsid w:val="71573B9F"/>
    <w:rsid w:val="71B061C3"/>
    <w:rsid w:val="71E35282"/>
    <w:rsid w:val="7289422C"/>
    <w:rsid w:val="72C17BB2"/>
    <w:rsid w:val="72D440E1"/>
    <w:rsid w:val="72DE697E"/>
    <w:rsid w:val="72E012D3"/>
    <w:rsid w:val="730C1FB8"/>
    <w:rsid w:val="73232A65"/>
    <w:rsid w:val="73E03841"/>
    <w:rsid w:val="741E31BA"/>
    <w:rsid w:val="74420FDF"/>
    <w:rsid w:val="749D5F31"/>
    <w:rsid w:val="74F73B5C"/>
    <w:rsid w:val="7506532C"/>
    <w:rsid w:val="75112038"/>
    <w:rsid w:val="75527669"/>
    <w:rsid w:val="75F80F01"/>
    <w:rsid w:val="75F81C88"/>
    <w:rsid w:val="7664529F"/>
    <w:rsid w:val="768974C4"/>
    <w:rsid w:val="769A5576"/>
    <w:rsid w:val="76B11F95"/>
    <w:rsid w:val="77094BBB"/>
    <w:rsid w:val="775C7190"/>
    <w:rsid w:val="77883DA0"/>
    <w:rsid w:val="77AB03BC"/>
    <w:rsid w:val="78111B77"/>
    <w:rsid w:val="783E304F"/>
    <w:rsid w:val="785A0AD9"/>
    <w:rsid w:val="788249BE"/>
    <w:rsid w:val="78CF11EE"/>
    <w:rsid w:val="78FF6958"/>
    <w:rsid w:val="795C2A02"/>
    <w:rsid w:val="796E0E90"/>
    <w:rsid w:val="7A3F4E10"/>
    <w:rsid w:val="7A90290C"/>
    <w:rsid w:val="7A956238"/>
    <w:rsid w:val="7A9802C7"/>
    <w:rsid w:val="7AEA7343"/>
    <w:rsid w:val="7B6174B9"/>
    <w:rsid w:val="7B77572B"/>
    <w:rsid w:val="7BAD0F04"/>
    <w:rsid w:val="7BD01162"/>
    <w:rsid w:val="7C31015A"/>
    <w:rsid w:val="7C8D71FE"/>
    <w:rsid w:val="7CDD2FDC"/>
    <w:rsid w:val="7CDD3C2A"/>
    <w:rsid w:val="7CEA47C5"/>
    <w:rsid w:val="7CED6118"/>
    <w:rsid w:val="7D4F03D5"/>
    <w:rsid w:val="7D826F56"/>
    <w:rsid w:val="7DC77BA3"/>
    <w:rsid w:val="7DDD6813"/>
    <w:rsid w:val="7DEA49C0"/>
    <w:rsid w:val="7E082AA4"/>
    <w:rsid w:val="7E266DD3"/>
    <w:rsid w:val="7E324C72"/>
    <w:rsid w:val="7F097A03"/>
    <w:rsid w:val="7F2F1657"/>
    <w:rsid w:val="7F454A87"/>
    <w:rsid w:val="7F906066"/>
    <w:rsid w:val="7FF466E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0"/>
    <w:pPr>
      <w:keepNext/>
      <w:keepLines/>
      <w:outlineLvl w:val="0"/>
    </w:pPr>
    <w:rPr>
      <w:rFonts w:eastAsia="楷体"/>
      <w:kern w:val="44"/>
    </w:rPr>
  </w:style>
  <w:style w:type="character" w:default="1" w:styleId="14">
    <w:name w:val="Default Paragraph Font"/>
    <w:qFormat/>
    <w:uiPriority w:val="0"/>
  </w:style>
  <w:style w:type="table" w:default="1" w:styleId="13">
    <w:name w:val="Normal Table"/>
    <w:unhideWhenUsed/>
    <w:qFormat/>
    <w:uiPriority w:val="99"/>
    <w:tblPr>
      <w:tblCellMar>
        <w:top w:w="0" w:type="dxa"/>
        <w:left w:w="108" w:type="dxa"/>
        <w:bottom w:w="0" w:type="dxa"/>
        <w:right w:w="108" w:type="dxa"/>
      </w:tblCellMar>
    </w:tblPr>
  </w:style>
  <w:style w:type="paragraph" w:styleId="2">
    <w:name w:val="Normal Indent"/>
    <w:basedOn w:val="1"/>
    <w:qFormat/>
    <w:uiPriority w:val="0"/>
    <w:pPr>
      <w:spacing w:line="360" w:lineRule="auto"/>
      <w:ind w:firstLine="420"/>
    </w:pPr>
    <w:rPr>
      <w:sz w:val="28"/>
      <w:szCs w:val="20"/>
    </w:rPr>
  </w:style>
  <w:style w:type="paragraph" w:styleId="4">
    <w:name w:val="Body Text"/>
    <w:basedOn w:val="1"/>
    <w:next w:val="5"/>
    <w:qFormat/>
    <w:uiPriority w:val="0"/>
    <w:pPr>
      <w:jc w:val="center"/>
    </w:pPr>
    <w:rPr>
      <w:rFonts w:ascii="黑体" w:eastAsia="黑体"/>
      <w:sz w:val="30"/>
    </w:rPr>
  </w:style>
  <w:style w:type="paragraph" w:styleId="5">
    <w:name w:val="Body Text First Indent 2"/>
    <w:basedOn w:val="6"/>
    <w:qFormat/>
    <w:uiPriority w:val="0"/>
    <w:pPr>
      <w:ind w:firstLine="200" w:firstLineChars="200"/>
    </w:pPr>
  </w:style>
  <w:style w:type="paragraph" w:styleId="6">
    <w:name w:val="Body Text Indent"/>
    <w:basedOn w:val="1"/>
    <w:link w:val="23"/>
    <w:qFormat/>
    <w:uiPriority w:val="0"/>
    <w:pPr>
      <w:widowControl/>
      <w:adjustRightInd w:val="0"/>
      <w:snapToGrid w:val="0"/>
      <w:spacing w:before="100"/>
      <w:ind w:firstLine="640" w:firstLineChars="200"/>
      <w:jc w:val="left"/>
    </w:pPr>
    <w:rPr>
      <w:rFonts w:ascii="仿宋_GB2312" w:hAnsi="华文中宋" w:eastAsia="仿宋_GB2312"/>
      <w:kern w:val="0"/>
      <w:sz w:val="32"/>
      <w:szCs w:val="24"/>
    </w:rPr>
  </w:style>
  <w:style w:type="paragraph" w:styleId="7">
    <w:name w:val="Plain Text"/>
    <w:basedOn w:val="1"/>
    <w:link w:val="24"/>
    <w:qFormat/>
    <w:uiPriority w:val="0"/>
    <w:rPr>
      <w:rFonts w:ascii="宋体" w:hAnsi="Courier New"/>
      <w:sz w:val="32"/>
      <w:szCs w:val="32"/>
    </w:rPr>
  </w:style>
  <w:style w:type="paragraph" w:styleId="8">
    <w:name w:val="Balloon Text"/>
    <w:basedOn w:val="1"/>
    <w:link w:val="25"/>
    <w:qFormat/>
    <w:uiPriority w:val="0"/>
    <w:rPr>
      <w:sz w:val="18"/>
      <w:szCs w:val="18"/>
    </w:rPr>
  </w:style>
  <w:style w:type="paragraph" w:styleId="9">
    <w:name w:val="footer"/>
    <w:basedOn w:val="1"/>
    <w:link w:val="26"/>
    <w:qFormat/>
    <w:uiPriority w:val="0"/>
    <w:pPr>
      <w:tabs>
        <w:tab w:val="center" w:pos="4153"/>
        <w:tab w:val="right" w:pos="8306"/>
      </w:tabs>
      <w:snapToGrid w:val="0"/>
      <w:jc w:val="left"/>
    </w:pPr>
    <w:rPr>
      <w:sz w:val="18"/>
      <w:szCs w:val="18"/>
    </w:rPr>
  </w:style>
  <w:style w:type="paragraph" w:styleId="10">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11">
    <w:name w:val="toc 2"/>
    <w:basedOn w:val="1"/>
    <w:next w:val="1"/>
    <w:qFormat/>
    <w:uiPriority w:val="0"/>
    <w:pPr>
      <w:ind w:left="420" w:leftChars="200"/>
    </w:pPr>
  </w:style>
  <w:style w:type="paragraph" w:styleId="12">
    <w:name w:val="Normal (Web)"/>
    <w:basedOn w:val="1"/>
    <w:qFormat/>
    <w:uiPriority w:val="0"/>
    <w:pPr>
      <w:jc w:val="left"/>
    </w:pPr>
    <w:rPr>
      <w:kern w:val="0"/>
      <w:sz w:val="24"/>
    </w:rPr>
  </w:style>
  <w:style w:type="character" w:styleId="15">
    <w:name w:val="page number"/>
    <w:basedOn w:val="14"/>
    <w:qFormat/>
    <w:uiPriority w:val="0"/>
  </w:style>
  <w:style w:type="character" w:styleId="16">
    <w:name w:val="Hyperlink"/>
    <w:qFormat/>
    <w:uiPriority w:val="0"/>
    <w:rPr>
      <w:color w:val="0000FF"/>
      <w:u w:val="single"/>
    </w:rPr>
  </w:style>
  <w:style w:type="paragraph" w:customStyle="1" w:styleId="17">
    <w:name w:val="Date"/>
    <w:basedOn w:val="1"/>
    <w:next w:val="1"/>
    <w:link w:val="29"/>
    <w:qFormat/>
    <w:uiPriority w:val="0"/>
    <w:pPr>
      <w:ind w:left="100" w:leftChars="2500"/>
    </w:pPr>
  </w:style>
  <w:style w:type="paragraph" w:customStyle="1" w:styleId="18">
    <w:name w:val="ParaAttribute6"/>
    <w:qFormat/>
    <w:uiPriority w:val="0"/>
    <w:pPr>
      <w:widowControl w:val="0"/>
      <w:wordWrap w:val="0"/>
      <w:ind w:firstLine="600"/>
      <w:jc w:val="both"/>
    </w:pPr>
    <w:rPr>
      <w:rFonts w:ascii="Times New Roman" w:hAnsi="Times New Roman" w:eastAsia="Batang" w:cs="Times New Roman"/>
      <w:lang w:val="en-US" w:eastAsia="zh-CN" w:bidi="ar-SA"/>
    </w:rPr>
  </w:style>
  <w:style w:type="paragraph" w:customStyle="1" w:styleId="19">
    <w:name w:val="内标题一"/>
    <w:basedOn w:val="1"/>
    <w:qFormat/>
    <w:uiPriority w:val="0"/>
    <w:rPr>
      <w:rFonts w:eastAsia="楷体"/>
    </w:rPr>
  </w:style>
  <w:style w:type="paragraph" w:customStyle="1" w:styleId="20">
    <w:name w:val="样式1"/>
    <w:basedOn w:val="4"/>
    <w:next w:val="10"/>
    <w:qFormat/>
    <w:uiPriority w:val="0"/>
    <w:pPr>
      <w:spacing w:before="156" w:beforeLines="50" w:after="156" w:afterLines="50" w:line="360" w:lineRule="auto"/>
      <w:jc w:val="both"/>
    </w:pPr>
    <w:rPr>
      <w:rFonts w:ascii="宋体" w:hAnsi="宋体"/>
      <w:sz w:val="30"/>
    </w:rPr>
  </w:style>
  <w:style w:type="paragraph" w:customStyle="1" w:styleId="21">
    <w:name w:val="ParaAttribute8"/>
    <w:qFormat/>
    <w:uiPriority w:val="0"/>
    <w:pPr>
      <w:widowControl w:val="0"/>
      <w:wordWrap w:val="0"/>
      <w:ind w:firstLine="6000"/>
      <w:jc w:val="both"/>
    </w:pPr>
    <w:rPr>
      <w:rFonts w:ascii="Times New Roman" w:hAnsi="Times New Roman" w:eastAsia="Batang" w:cs="Times New Roman"/>
      <w:lang w:val="en-US" w:eastAsia="zh-CN" w:bidi="ar-SA"/>
    </w:rPr>
  </w:style>
  <w:style w:type="paragraph" w:customStyle="1" w:styleId="22">
    <w:name w:val="ParaAttribute4"/>
    <w:qFormat/>
    <w:uiPriority w:val="0"/>
    <w:pPr>
      <w:widowControl w:val="0"/>
      <w:wordWrap w:val="0"/>
      <w:ind w:firstLine="480"/>
      <w:jc w:val="both"/>
    </w:pPr>
    <w:rPr>
      <w:rFonts w:ascii="Times New Roman" w:hAnsi="Times New Roman" w:eastAsia="Batang" w:cs="Times New Roman"/>
      <w:lang w:val="en-US" w:eastAsia="zh-CN" w:bidi="ar-SA"/>
    </w:rPr>
  </w:style>
  <w:style w:type="character" w:customStyle="1" w:styleId="23">
    <w:name w:val="正文文本缩进 字符"/>
    <w:link w:val="6"/>
    <w:qFormat/>
    <w:uiPriority w:val="0"/>
    <w:rPr>
      <w:rFonts w:ascii="仿宋_GB2312" w:hAnsi="华文中宋" w:eastAsia="仿宋_GB2312"/>
      <w:sz w:val="32"/>
      <w:szCs w:val="24"/>
    </w:rPr>
  </w:style>
  <w:style w:type="character" w:customStyle="1" w:styleId="24">
    <w:name w:val="纯文本 字符"/>
    <w:link w:val="7"/>
    <w:qFormat/>
    <w:uiPriority w:val="0"/>
    <w:rPr>
      <w:rFonts w:ascii="宋体" w:hAnsi="Courier New"/>
      <w:sz w:val="32"/>
      <w:szCs w:val="32"/>
    </w:rPr>
  </w:style>
  <w:style w:type="character" w:customStyle="1" w:styleId="25">
    <w:name w:val="批注框文本 字符"/>
    <w:link w:val="8"/>
    <w:qFormat/>
    <w:uiPriority w:val="0"/>
    <w:rPr>
      <w:sz w:val="18"/>
      <w:szCs w:val="18"/>
    </w:rPr>
  </w:style>
  <w:style w:type="character" w:customStyle="1" w:styleId="26">
    <w:name w:val="页脚 字符"/>
    <w:link w:val="9"/>
    <w:qFormat/>
    <w:uiPriority w:val="0"/>
    <w:rPr>
      <w:sz w:val="18"/>
      <w:szCs w:val="18"/>
    </w:rPr>
  </w:style>
  <w:style w:type="character" w:customStyle="1" w:styleId="27">
    <w:name w:val="页眉 字符"/>
    <w:link w:val="10"/>
    <w:qFormat/>
    <w:uiPriority w:val="0"/>
    <w:rPr>
      <w:sz w:val="18"/>
      <w:szCs w:val="18"/>
    </w:rPr>
  </w:style>
  <w:style w:type="character" w:customStyle="1" w:styleId="28">
    <w:name w:val="CharAttribute5"/>
    <w:qFormat/>
    <w:uiPriority w:val="0"/>
    <w:rPr>
      <w:rFonts w:ascii="仿宋_GB2312" w:eastAsia="仿宋_GB2312"/>
      <w:sz w:val="30"/>
    </w:rPr>
  </w:style>
  <w:style w:type="character" w:customStyle="1" w:styleId="29">
    <w:name w:val="日期 字符"/>
    <w:basedOn w:val="14"/>
    <w:link w:val="17"/>
    <w:qFormat/>
    <w:uiPriority w:val="0"/>
  </w:style>
  <w:style w:type="character" w:customStyle="1" w:styleId="30">
    <w:name w:val="正文文本缩进 字符1"/>
    <w:semiHidden/>
    <w:qFormat/>
    <w:uiPriority w:val="99"/>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13</Pages>
  <Words>4762</Words>
  <Characters>5138</Characters>
  <Lines>465</Lines>
  <Paragraphs>335</Paragraphs>
  <TotalTime>1</TotalTime>
  <ScaleCrop>false</ScaleCrop>
  <LinksUpToDate>false</LinksUpToDate>
  <CharactersWithSpaces>5218</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2016-11-23T03:56:00Z</dcterms:created>
  <dc:creator>邓翠美</dc:creator>
  <cp:lastModifiedBy>侯玉昊</cp:lastModifiedBy>
  <cp:lastPrinted>2022-09-16T07:53:00Z</cp:lastPrinted>
  <dcterms:modified xsi:type="dcterms:W3CDTF">2022-09-19T08:03:21Z</dcterms:modified>
  <dc:title>邱子谦</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y fmtid="{D5CDD505-2E9C-101B-9397-08002B2CF9AE}" pid="3" name="ICV">
    <vt:lpwstr>E4877EBF05A54BD38FCC6DF4F81881E9</vt:lpwstr>
  </property>
  <property fmtid="{D5CDD505-2E9C-101B-9397-08002B2CF9AE}" pid="4" name="KSOSaveFontToCloudKey">
    <vt:lpwstr>288039858_embed</vt:lpwstr>
  </property>
</Properties>
</file>