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color w:val="auto"/>
          <w:lang w:val="en-US" w:eastAsia="zh-CN"/>
        </w:rPr>
      </w:pPr>
    </w:p>
    <w:p>
      <w:pPr>
        <w:pStyle w:val="2"/>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auto"/>
          <w:sz w:val="44"/>
          <w:szCs w:val="44"/>
        </w:rPr>
      </w:pPr>
      <w:r>
        <w:rPr>
          <w:rFonts w:hint="eastAsia" w:ascii="华文中宋" w:hAnsi="华文中宋" w:eastAsia="华文中宋" w:cs="华文中宋"/>
          <w:color w:val="auto"/>
          <w:sz w:val="44"/>
          <w:szCs w:val="44"/>
        </w:rPr>
        <w:t>惠州市国有建设用地使用权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auto"/>
          <w:sz w:val="44"/>
          <w:szCs w:val="44"/>
        </w:rPr>
      </w:pPr>
      <w:r>
        <w:rPr>
          <w:rFonts w:hint="eastAsia" w:ascii="华文中宋" w:hAnsi="华文中宋" w:eastAsia="华文中宋" w:cs="华文中宋"/>
          <w:color w:val="auto"/>
          <w:sz w:val="44"/>
          <w:szCs w:val="44"/>
        </w:rPr>
        <w:t>网上挂牌出让竞买须知</w:t>
      </w:r>
    </w:p>
    <w:p>
      <w:pPr>
        <w:spacing w:line="560" w:lineRule="exact"/>
        <w:jc w:val="center"/>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惠公易土市直 [2022]0</w:t>
      </w:r>
      <w:r>
        <w:rPr>
          <w:rFonts w:hint="eastAsia" w:eastAsia="仿宋_GB2312" w:cs="Times New Roman"/>
          <w:color w:val="auto"/>
          <w:sz w:val="32"/>
          <w:szCs w:val="32"/>
          <w:highlight w:val="none"/>
          <w:lang w:val="en-US" w:eastAsia="zh-CN"/>
        </w:rPr>
        <w:t>32</w:t>
      </w:r>
      <w:r>
        <w:rPr>
          <w:rFonts w:hint="eastAsia" w:ascii="Times New Roman" w:hAnsi="Times New Roman" w:eastAsia="仿宋_GB2312" w:cs="Times New Roman"/>
          <w:color w:val="auto"/>
          <w:sz w:val="32"/>
          <w:szCs w:val="32"/>
          <w:highlight w:val="none"/>
        </w:rPr>
        <w:t>号</w:t>
      </w:r>
    </w:p>
    <w:p>
      <w:pPr>
        <w:pStyle w:val="3"/>
        <w:rPr>
          <w:rFonts w:hint="eastAsia"/>
          <w:color w:val="auto"/>
        </w:rPr>
      </w:pPr>
    </w:p>
    <w:p>
      <w:pPr>
        <w:numPr>
          <w:ilvl w:val="0"/>
          <w:numId w:val="1"/>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国有建设用地使用权网上挂牌出让，是指在惠州市公共资源交易平台发布挂牌出让公告和须知，竞买人通过惠州市公共资源交易中心（以下简称“交易中心”）土地与矿业网上挂牌交易系统（以下简称“网上挂牌交易系统”）参与电子挂牌交易的行为。本竞买须知是具备法律约束力的重要文件，竞买人须详细阅读。</w:t>
      </w:r>
    </w:p>
    <w:p>
      <w:pPr>
        <w:numPr>
          <w:ilvl w:val="0"/>
          <w:numId w:val="1"/>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本宗国有建设用地使用权网上挂牌出让遵循公开、公平、公正和诚实信用原则。</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三、中华人民共和国境内外的法人和其他组织均可申请竞买，可以单独申请，也可以联合申请。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挂牌出让公告对竞买资格有特别要求的，以挂牌出让公告为准。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五、网上挂牌交易程序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（一）发布网上挂牌信息</w:t>
      </w:r>
    </w:p>
    <w:p>
      <w:pPr>
        <w:rPr>
          <w:rFonts w:hint="eastAsia" w:ascii="仿宋" w:hAnsi="仿宋" w:eastAsia="仿宋" w:cs="仿宋"/>
          <w:color w:val="auto"/>
          <w:sz w:val="32"/>
          <w:szCs w:val="32"/>
        </w:rPr>
      </w:pPr>
      <w:r>
        <w:rPr>
          <w:rFonts w:hint="eastAsia" w:ascii="仿宋" w:hAnsi="仿宋" w:eastAsia="仿宋" w:cs="仿宋"/>
          <w:color w:val="auto"/>
          <w:sz w:val="32"/>
          <w:szCs w:val="32"/>
        </w:rPr>
        <w:t>有关宗地的电子挂牌交易公告等相关信息通过交易中心门户网站、交易大厅的电子显示屏、中国土地市场网和网上挂牌交易系统等媒介同步发布。</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有意竞买者可登录网上挂牌交易系统网站(https://www.hzgtjy.com/)查询。</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（二）挂牌文件获取</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申请人可在网上挂牌交易系统浏览和下载本宗地网上挂牌出让文件，具体包括：</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1、惠州市国有建设用地使用权网上挂牌出让公告（以下简称“出让公告”）；</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2、惠州市国有建设用地使用权网上挂牌出让竞买须知（以下简称“竞买须知”）；</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、《规划设计条件告知书》；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、《惠州市国有建设用地使用权电子挂牌交易成交确认书》（以下简称“成交确认书”）</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样本）</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、《国有建设用地使用权出让合同》（以下简称“出让合同”）</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样本）</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、挂牌出让地块现状图；</w:t>
      </w:r>
    </w:p>
    <w:p>
      <w:pPr>
        <w:ind w:firstLine="640" w:firstLineChars="200"/>
        <w:rPr>
          <w:rFonts w:hint="eastAsia"/>
          <w:color w:val="auto"/>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、红线图；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8、其他相关文件。</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（三）办理数字证书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土地与矿业交易窗口，电话：0752-7121029）申请办理。数字证书的办理流程详见网上挂牌交易系统上的《数字证书办理指南》。</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（四）申请竞买</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委托人明确可以采用保函、保险等方式提交保证金的，应当满足电子数据文本的实现形式。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1、竞买保证金是申请人参加网上挂牌交易活动的资格条件。按规定将竞买保证金汇入指定账户，是参加网上挂牌交易活动的必经程序。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3、跨地区或跨行转账的竞买人，需预足资金的在途时间，以免影响竞买人及时取得竞买</w:t>
      </w:r>
      <w:r>
        <w:rPr>
          <w:rFonts w:hint="eastAsia" w:ascii="仿宋" w:hAnsi="仿宋" w:eastAsia="仿宋" w:cs="仿宋"/>
          <w:color w:val="auto"/>
          <w:sz w:val="32"/>
          <w:szCs w:val="32"/>
          <w:lang w:eastAsia="zh-CN"/>
        </w:rPr>
        <w:t>报价权限</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4、竞买保证金到账时间以网上挂牌交易系统确认并发出《保证金到账通知书》为准。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w:t>
      </w:r>
    </w:p>
    <w:p>
      <w:pPr>
        <w:rPr>
          <w:rFonts w:hint="eastAsia" w:ascii="仿宋" w:hAnsi="仿宋" w:eastAsia="仿宋" w:cs="仿宋"/>
          <w:color w:val="auto"/>
          <w:sz w:val="32"/>
          <w:szCs w:val="32"/>
        </w:rPr>
      </w:pPr>
      <w:r>
        <w:rPr>
          <w:rFonts w:hint="eastAsia" w:ascii="仿宋" w:hAnsi="仿宋" w:eastAsia="仿宋" w:cs="仿宋"/>
          <w:color w:val="auto"/>
          <w:sz w:val="32"/>
          <w:szCs w:val="32"/>
        </w:rPr>
        <w:t>竞买保证金账号：网上挂牌交易系统随机产生竞买保证金支付账号。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开户银行：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（1）中国建设银行惠州广场支行；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（2）中国银行惠州分行；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（3）中国工商银行股份有限公司惠州富力国际中心支行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（4）中国农业银行惠州分行；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（5）广发银行惠州江北支行；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（6）交通银行惠州分行；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（7）惠州市农村商业银行股份有限公司惠城支行；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（8）上海浦东发展银行股份有限公司惠州分行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（9）中国民生银行股份有限公司惠州分行；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(10）中信银行股份有限公司惠州分行。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6、申请人应根据网上挂牌交易系统随机生成的保证金账号按时足额交纳竞买保证金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网上挂牌交易系统确认竞买保证金到账之后，赋予竞买人对应宗地的竞买报价权限。 </w:t>
      </w:r>
    </w:p>
    <w:p>
      <w:pPr>
        <w:ind w:firstLine="640" w:firstLineChars="200"/>
        <w:rPr>
          <w:rFonts w:hint="default" w:ascii="仿宋" w:hAnsi="仿宋" w:eastAsia="仿宋" w:cs="仿宋"/>
          <w:color w:val="auto"/>
          <w:sz w:val="32"/>
          <w:szCs w:val="32"/>
        </w:rPr>
      </w:pPr>
      <w:r>
        <w:rPr>
          <w:rFonts w:hint="eastAsia" w:ascii="仿宋" w:hAnsi="仿宋" w:eastAsia="仿宋" w:cs="仿宋"/>
          <w:color w:val="auto"/>
          <w:sz w:val="32"/>
          <w:szCs w:val="32"/>
        </w:rPr>
        <w:t>（六）</w:t>
      </w:r>
      <w:r>
        <w:rPr>
          <w:rFonts w:hint="default" w:ascii="仿宋" w:hAnsi="仿宋" w:eastAsia="仿宋" w:cs="仿宋"/>
          <w:color w:val="auto"/>
          <w:sz w:val="32"/>
          <w:szCs w:val="32"/>
        </w:rPr>
        <w:t>网上报价及“限地价、</w:t>
      </w:r>
      <w:r>
        <w:rPr>
          <w:rFonts w:hint="default" w:ascii="仿宋" w:hAnsi="仿宋" w:eastAsia="仿宋" w:cs="仿宋"/>
          <w:color w:val="auto"/>
          <w:sz w:val="32"/>
          <w:szCs w:val="32"/>
          <w:lang w:val="en-US" w:eastAsia="zh-CN"/>
        </w:rPr>
        <w:t>摇号</w:t>
      </w:r>
      <w:r>
        <w:rPr>
          <w:rFonts w:hint="default" w:ascii="仿宋" w:hAnsi="仿宋" w:eastAsia="仿宋" w:cs="仿宋"/>
          <w:color w:val="auto"/>
          <w:sz w:val="32"/>
          <w:szCs w:val="32"/>
        </w:rPr>
        <w:t>”规则</w:t>
      </w:r>
    </w:p>
    <w:p>
      <w:pPr>
        <w:ind w:firstLine="640" w:firstLineChars="200"/>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本宗建设用地使用权网上挂牌采取“限地价、</w:t>
      </w:r>
      <w:r>
        <w:rPr>
          <w:rFonts w:hint="default" w:ascii="Times New Roman" w:hAnsi="Times New Roman" w:eastAsia="仿宋_GB2312" w:cs="Times New Roman"/>
          <w:color w:val="auto"/>
          <w:sz w:val="32"/>
          <w:szCs w:val="32"/>
          <w:highlight w:val="none"/>
          <w:lang w:val="en-US" w:eastAsia="zh-CN"/>
        </w:rPr>
        <w:t>摇号</w:t>
      </w:r>
      <w:r>
        <w:rPr>
          <w:rFonts w:hint="default" w:ascii="Times New Roman" w:hAnsi="Times New Roman" w:eastAsia="仿宋_GB2312" w:cs="Times New Roman"/>
          <w:color w:val="auto"/>
          <w:sz w:val="32"/>
          <w:szCs w:val="32"/>
          <w:highlight w:val="none"/>
        </w:rPr>
        <w:t>”出让方式，竞买人以增价方式通过网上挂牌交易系统进行报价，当报价达到最高限价时，交易系统转入</w:t>
      </w:r>
      <w:r>
        <w:rPr>
          <w:rFonts w:hint="default" w:ascii="Times New Roman" w:hAnsi="Times New Roman" w:eastAsia="仿宋_GB2312" w:cs="Times New Roman"/>
          <w:color w:val="auto"/>
          <w:sz w:val="32"/>
          <w:szCs w:val="32"/>
          <w:highlight w:val="none"/>
          <w:lang w:val="en-US" w:eastAsia="zh-CN"/>
        </w:rPr>
        <w:t>采取摇号方式确定</w:t>
      </w:r>
      <w:r>
        <w:rPr>
          <w:rFonts w:hint="eastAsia" w:eastAsia="仿宋_GB2312" w:cs="Times New Roman"/>
          <w:color w:val="auto"/>
          <w:sz w:val="32"/>
          <w:szCs w:val="32"/>
          <w:highlight w:val="none"/>
          <w:lang w:eastAsia="zh-CN"/>
        </w:rPr>
        <w:t>成交候选人</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每次</w:t>
      </w:r>
      <w:r>
        <w:rPr>
          <w:rFonts w:hint="default" w:ascii="Times New Roman" w:hAnsi="Times New Roman" w:eastAsia="仿宋_GB2312" w:cs="Times New Roman"/>
          <w:color w:val="auto"/>
          <w:sz w:val="32"/>
          <w:szCs w:val="32"/>
          <w:highlight w:val="none"/>
          <w:lang w:val="en-US" w:eastAsia="zh-CN"/>
        </w:rPr>
        <w:t>增价</w:t>
      </w:r>
      <w:r>
        <w:rPr>
          <w:rFonts w:hint="default" w:ascii="Times New Roman" w:hAnsi="Times New Roman" w:eastAsia="仿宋_GB2312" w:cs="Times New Roman"/>
          <w:color w:val="auto"/>
          <w:sz w:val="32"/>
          <w:szCs w:val="32"/>
          <w:highlight w:val="none"/>
        </w:rPr>
        <w:t>幅度</w:t>
      </w:r>
      <w:r>
        <w:rPr>
          <w:rFonts w:hint="default" w:ascii="Times New Roman" w:hAnsi="Times New Roman" w:eastAsia="仿宋_GB2312" w:cs="Times New Roman"/>
          <w:color w:val="auto"/>
          <w:sz w:val="32"/>
          <w:szCs w:val="32"/>
          <w:highlight w:val="none"/>
          <w:lang w:val="en-US" w:eastAsia="zh-CN"/>
        </w:rPr>
        <w:t>应是规定的增价幅度的整数倍</w:t>
      </w:r>
      <w:r>
        <w:rPr>
          <w:rFonts w:hint="default" w:ascii="Times New Roman" w:hAnsi="Times New Roman" w:eastAsia="仿宋_GB2312" w:cs="Times New Roman"/>
          <w:color w:val="auto"/>
          <w:sz w:val="32"/>
          <w:szCs w:val="32"/>
          <w:highlight w:val="none"/>
        </w:rPr>
        <w:t xml:space="preserve">。   </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竞买人可多次报价，首次报价不低于起始价。</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竞买人每次报价应当比当前最高报价至少递增一个增价幅度。</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竞买人应当谨慎报价，报价一经提交并经网上挂牌</w:t>
      </w:r>
      <w:r>
        <w:rPr>
          <w:rFonts w:hint="default" w:ascii="Times New Roman" w:hAnsi="Times New Roman" w:eastAsia="仿宋_GB2312" w:cs="Times New Roman"/>
          <w:color w:val="auto"/>
          <w:sz w:val="32"/>
          <w:szCs w:val="32"/>
          <w:highlight w:val="none"/>
          <w:lang w:val="en-US" w:eastAsia="zh-CN"/>
        </w:rPr>
        <w:t>交易</w:t>
      </w:r>
      <w:r>
        <w:rPr>
          <w:rFonts w:hint="default" w:ascii="Times New Roman" w:hAnsi="Times New Roman" w:eastAsia="仿宋_GB2312" w:cs="Times New Roman"/>
          <w:color w:val="auto"/>
          <w:sz w:val="32"/>
          <w:szCs w:val="32"/>
          <w:highlight w:val="none"/>
        </w:rPr>
        <w:t>系统确认为有效报价</w:t>
      </w:r>
      <w:r>
        <w:rPr>
          <w:rFonts w:hint="default"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rPr>
        <w:t>，不可撤回。</w:t>
      </w:r>
    </w:p>
    <w:p>
      <w:pPr>
        <w:keepNext w:val="0"/>
        <w:keepLines w:val="0"/>
        <w:pageBreakBefore w:val="0"/>
        <w:widowControl w:val="0"/>
        <w:suppressAutoHyphens/>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报价不能高于最高限价</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uppressAutoHyphens/>
        <w:kinsoku/>
        <w:wordWrap/>
        <w:overflowPunct/>
        <w:topLinePunct w:val="0"/>
        <w:autoSpaceDE/>
        <w:autoSpaceDN/>
        <w:bidi w:val="0"/>
        <w:adjustRightInd/>
        <w:snapToGrid/>
        <w:spacing w:line="360" w:lineRule="auto"/>
        <w:ind w:firstLine="640" w:firstLineChars="200"/>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不同竞买人均可报最高限价</w:t>
      </w:r>
      <w:r>
        <w:rPr>
          <w:rFonts w:hint="default" w:ascii="Times New Roman" w:hAnsi="Times New Roman" w:eastAsia="仿宋_GB2312" w:cs="Times New Roman"/>
          <w:color w:val="auto"/>
          <w:kern w:val="2"/>
          <w:sz w:val="32"/>
          <w:szCs w:val="32"/>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eastAsia="仿宋_GB2312" w:cs="Times New Roman"/>
          <w:color w:val="auto"/>
          <w:sz w:val="32"/>
          <w:szCs w:val="32"/>
          <w:highlight w:val="none"/>
          <w:lang w:eastAsia="zh-CN"/>
        </w:rPr>
      </w:pPr>
      <w:r>
        <w:rPr>
          <w:rFonts w:hint="eastAsia"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限时竞价是指在交易公告规定的电子挂牌交易期限截止时，有2个以上的竞买人报价，且经电子挂牌交易系统询问，5分钟内限时决定是否愿意继续报价,有竞买人愿意继续报价的，电子挂牌交易系统以高于当前最高报价一个增价幅度的价格为起始价，电子挂牌交易系统开始第一次5分钟倒计时限时报价，如在5分钟内的任一时点有新的有效报价，电子挂牌交易系统即从此时点起再顺延5分钟，供竞买人作新一轮报价，并按此方式不断顺延下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直至5分钟限时报价内没有新的有效报价，电子挂牌交易系统将自动关闭报价通道，确认当前最高报价为最终报价</w:t>
      </w:r>
      <w:r>
        <w:rPr>
          <w:rFonts w:hint="eastAsia" w:eastAsia="仿宋_GB2312" w:cs="Times New Roman"/>
          <w:color w:val="auto"/>
          <w:sz w:val="32"/>
          <w:szCs w:val="32"/>
          <w:highlight w:val="none"/>
          <w:lang w:eastAsia="zh-CN"/>
        </w:rPr>
        <w:t>，网上挂牌交易系统即时显示电子挂牌竞价结果。</w:t>
      </w:r>
    </w:p>
    <w:p>
      <w:pPr>
        <w:ind w:firstLine="640" w:firstLineChars="200"/>
        <w:rPr>
          <w:rFonts w:hint="eastAsia" w:ascii="仿宋" w:hAnsi="仿宋" w:eastAsia="仿宋" w:cs="仿宋"/>
          <w:color w:val="auto"/>
          <w:sz w:val="32"/>
          <w:szCs w:val="32"/>
        </w:rPr>
      </w:pPr>
      <w:r>
        <w:rPr>
          <w:rFonts w:hint="eastAsia" w:eastAsia="仿宋_GB2312" w:cs="Times New Roman"/>
          <w:color w:val="auto"/>
          <w:sz w:val="32"/>
          <w:szCs w:val="32"/>
          <w:highlight w:val="none"/>
          <w:lang w:val="en-US" w:eastAsia="zh-CN"/>
        </w:rPr>
        <w:t>9、</w:t>
      </w:r>
      <w:r>
        <w:rPr>
          <w:rFonts w:hint="eastAsia" w:ascii="仿宋" w:hAnsi="仿宋" w:eastAsia="仿宋" w:cs="仿宋"/>
          <w:color w:val="auto"/>
          <w:sz w:val="32"/>
          <w:szCs w:val="32"/>
        </w:rPr>
        <w:t>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在土地挂牌交易期限截止时，按照下列规则确定</w:t>
      </w:r>
      <w:r>
        <w:rPr>
          <w:rFonts w:hint="eastAsia" w:eastAsia="仿宋_GB2312" w:cs="Times New Roman"/>
          <w:color w:val="auto"/>
          <w:sz w:val="32"/>
          <w:szCs w:val="32"/>
          <w:highlight w:val="none"/>
          <w:lang w:eastAsia="zh-CN"/>
        </w:rPr>
        <w:t>成交候选人</w:t>
      </w:r>
      <w:r>
        <w:rPr>
          <w:rFonts w:hint="default" w:ascii="Times New Roman" w:hAnsi="Times New Roman" w:eastAsia="仿宋_GB2312" w:cs="Times New Roman"/>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1</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挂牌交易期限截止时无人报价的，挂牌不成交;</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挂牌交易期限截止时只有1个竞买人报价，挂牌成交,该报价者为</w:t>
      </w:r>
      <w:r>
        <w:rPr>
          <w:rFonts w:hint="eastAsia" w:eastAsia="仿宋_GB2312" w:cs="Times New Roman"/>
          <w:color w:val="auto"/>
          <w:sz w:val="32"/>
          <w:szCs w:val="32"/>
          <w:highlight w:val="none"/>
          <w:lang w:eastAsia="zh-CN"/>
        </w:rPr>
        <w:t>成交候选人</w:t>
      </w:r>
      <w:r>
        <w:rPr>
          <w:rFonts w:hint="default" w:ascii="Times New Roman" w:hAnsi="Times New Roman" w:eastAsia="仿宋_GB2312" w:cs="Times New Roman"/>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3</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在挂牌交易期限内有2个以上的竞买人报价的，按如下规定确定</w:t>
      </w:r>
      <w:r>
        <w:rPr>
          <w:rFonts w:hint="eastAsia" w:eastAsia="仿宋_GB2312" w:cs="Times New Roman"/>
          <w:color w:val="auto"/>
          <w:sz w:val="32"/>
          <w:szCs w:val="32"/>
          <w:highlight w:val="none"/>
          <w:lang w:eastAsia="zh-CN"/>
        </w:rPr>
        <w:t>成交候选人</w:t>
      </w:r>
      <w:r>
        <w:rPr>
          <w:rFonts w:hint="default" w:ascii="Times New Roman" w:hAnsi="Times New Roman" w:eastAsia="仿宋_GB2312" w:cs="Times New Roman"/>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Calibri" w:hAnsi="Calibri" w:eastAsia="仿宋_GB2312" w:cs="Calibri"/>
          <w:color w:val="auto"/>
          <w:sz w:val="32"/>
          <w:szCs w:val="32"/>
          <w:highlight w:val="none"/>
        </w:rPr>
        <w:t>①</w:t>
      </w:r>
      <w:r>
        <w:rPr>
          <w:rFonts w:hint="default" w:ascii="Times New Roman" w:hAnsi="Times New Roman" w:eastAsia="仿宋_GB2312" w:cs="Times New Roman"/>
          <w:color w:val="auto"/>
          <w:sz w:val="32"/>
          <w:szCs w:val="32"/>
          <w:highlight w:val="none"/>
        </w:rPr>
        <w:t>在挂牌交易期限截止时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最高报价未达到最高限价,经电子挂牌交易系统询问，无竞买人愿意参加限时竞价的，以当前报价最高者为</w:t>
      </w:r>
      <w:r>
        <w:rPr>
          <w:rFonts w:hint="eastAsia" w:eastAsia="仿宋_GB2312" w:cs="Times New Roman"/>
          <w:color w:val="auto"/>
          <w:sz w:val="32"/>
          <w:szCs w:val="32"/>
          <w:highlight w:val="none"/>
          <w:lang w:eastAsia="zh-CN"/>
        </w:rPr>
        <w:t>成交候选人</w:t>
      </w:r>
      <w:r>
        <w:rPr>
          <w:rFonts w:hint="default" w:ascii="Times New Roman" w:hAnsi="Times New Roman" w:eastAsia="仿宋_GB2312" w:cs="Times New Roman"/>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Calibri" w:hAnsi="Calibri" w:eastAsia="仿宋_GB2312" w:cs="Calibri"/>
          <w:color w:val="auto"/>
          <w:sz w:val="32"/>
          <w:szCs w:val="32"/>
          <w:highlight w:val="none"/>
        </w:rPr>
        <w:t>②</w:t>
      </w:r>
      <w:r>
        <w:rPr>
          <w:rFonts w:hint="default" w:ascii="Times New Roman" w:hAnsi="Times New Roman" w:eastAsia="仿宋_GB2312" w:cs="Times New Roman"/>
          <w:color w:val="auto"/>
          <w:sz w:val="32"/>
          <w:szCs w:val="32"/>
          <w:highlight w:val="none"/>
        </w:rPr>
        <w:t xml:space="preserve"> 在挂牌交易期限截止时 ,最高报价未达到最高限价,经电子挂牌交易系统询问，有竞买人愿意参加限时竞价的，进入限时竞价，限时竞价中最高报价未达到最高限价的, 该最高报价者为</w:t>
      </w:r>
      <w:r>
        <w:rPr>
          <w:rFonts w:hint="eastAsia" w:eastAsia="仿宋_GB2312" w:cs="Times New Roman"/>
          <w:color w:val="auto"/>
          <w:sz w:val="32"/>
          <w:szCs w:val="32"/>
          <w:highlight w:val="none"/>
          <w:lang w:eastAsia="zh-CN"/>
        </w:rPr>
        <w:t>成交候选人</w:t>
      </w:r>
      <w:r>
        <w:rPr>
          <w:rFonts w:hint="default" w:ascii="Times New Roman" w:hAnsi="Times New Roman" w:eastAsia="仿宋_GB2312" w:cs="Times New Roman"/>
          <w:color w:val="auto"/>
          <w:sz w:val="32"/>
          <w:szCs w:val="32"/>
          <w:highlight w:val="none"/>
          <w:lang w:eastAsia="zh-CN"/>
        </w:rPr>
        <w:t>。</w:t>
      </w:r>
    </w:p>
    <w:p>
      <w:pPr>
        <w:tabs>
          <w:tab w:val="left" w:pos="3388"/>
        </w:tabs>
        <w:spacing w:line="560" w:lineRule="exact"/>
        <w:ind w:firstLine="64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进入限时竞价，限时竞价中</w:t>
      </w:r>
      <w:r>
        <w:rPr>
          <w:rFonts w:hint="default" w:ascii="Times New Roman" w:hAnsi="Times New Roman" w:eastAsia="仿宋_GB2312" w:cs="Times New Roman"/>
          <w:color w:val="auto"/>
          <w:sz w:val="32"/>
          <w:szCs w:val="32"/>
          <w:highlight w:val="none"/>
        </w:rPr>
        <w:t>最高报价达到最高限价</w:t>
      </w:r>
      <w:r>
        <w:rPr>
          <w:rFonts w:hint="default"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若</w:t>
      </w:r>
      <w:r>
        <w:rPr>
          <w:rFonts w:hint="default" w:ascii="Times New Roman" w:hAnsi="Times New Roman" w:eastAsia="仿宋_GB2312" w:cs="Times New Roman"/>
          <w:color w:val="auto"/>
          <w:sz w:val="32"/>
          <w:szCs w:val="32"/>
          <w:highlight w:val="none"/>
        </w:rPr>
        <w:t>只有</w:t>
      </w:r>
      <w:r>
        <w:rPr>
          <w:rFonts w:hint="default" w:ascii="Times New Roman" w:hAnsi="Times New Roman" w:eastAsia="仿宋_GB2312" w:cs="Times New Roman"/>
          <w:color w:val="auto"/>
          <w:sz w:val="32"/>
          <w:szCs w:val="32"/>
          <w:highlight w:val="none"/>
          <w:lang w:val="en-US" w:eastAsia="zh-CN"/>
        </w:rPr>
        <w:t>1个</w:t>
      </w:r>
      <w:r>
        <w:rPr>
          <w:rFonts w:hint="default" w:ascii="Times New Roman" w:hAnsi="Times New Roman" w:eastAsia="仿宋_GB2312" w:cs="Times New Roman"/>
          <w:color w:val="auto"/>
          <w:sz w:val="32"/>
          <w:szCs w:val="32"/>
          <w:highlight w:val="none"/>
        </w:rPr>
        <w:t>竞买人报最高限价，该报价者为</w:t>
      </w:r>
      <w:r>
        <w:rPr>
          <w:rFonts w:hint="eastAsia" w:eastAsia="仿宋_GB2312" w:cs="Times New Roman"/>
          <w:color w:val="auto"/>
          <w:sz w:val="32"/>
          <w:szCs w:val="32"/>
          <w:highlight w:val="none"/>
          <w:lang w:eastAsia="zh-CN"/>
        </w:rPr>
        <w:t>成交候选人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若</w:t>
      </w:r>
      <w:r>
        <w:rPr>
          <w:rFonts w:hint="default" w:ascii="Times New Roman" w:hAnsi="Times New Roman" w:eastAsia="仿宋_GB2312" w:cs="Times New Roman"/>
          <w:color w:val="auto"/>
          <w:sz w:val="32"/>
          <w:szCs w:val="32"/>
          <w:highlight w:val="none"/>
        </w:rPr>
        <w:t>有</w:t>
      </w:r>
      <w:r>
        <w:rPr>
          <w:rFonts w:hint="default" w:ascii="Times New Roman" w:hAnsi="Times New Roman" w:eastAsia="仿宋_GB2312" w:cs="Times New Roman"/>
          <w:color w:val="auto"/>
          <w:sz w:val="32"/>
          <w:szCs w:val="32"/>
          <w:highlight w:val="none"/>
          <w:lang w:val="en-US" w:eastAsia="zh-CN"/>
        </w:rPr>
        <w:t>2个</w:t>
      </w:r>
      <w:r>
        <w:rPr>
          <w:rFonts w:hint="default" w:ascii="Times New Roman" w:hAnsi="Times New Roman" w:eastAsia="仿宋_GB2312" w:cs="Times New Roman"/>
          <w:color w:val="auto"/>
          <w:sz w:val="32"/>
          <w:szCs w:val="32"/>
          <w:highlight w:val="none"/>
        </w:rPr>
        <w:t>以上竞买人报最高限价，系统将选取报最高限价的竞买号进行摇号，采取摇号的方式在规定的时间内确定</w:t>
      </w:r>
      <w:r>
        <w:rPr>
          <w:rFonts w:hint="eastAsia" w:eastAsia="仿宋_GB2312" w:cs="Times New Roman"/>
          <w:color w:val="auto"/>
          <w:sz w:val="32"/>
          <w:szCs w:val="32"/>
          <w:highlight w:val="none"/>
          <w:lang w:eastAsia="zh-CN"/>
        </w:rPr>
        <w:t>成交候选人</w:t>
      </w:r>
      <w:r>
        <w:rPr>
          <w:rFonts w:hint="default" w:ascii="Times New Roman" w:hAnsi="Times New Roman" w:eastAsia="仿宋_GB2312" w:cs="Times New Roman"/>
          <w:color w:val="auto"/>
          <w:sz w:val="32"/>
          <w:szCs w:val="32"/>
          <w:highlight w:val="none"/>
        </w:rPr>
        <w:t>。</w:t>
      </w:r>
    </w:p>
    <w:p>
      <w:pPr>
        <w:tabs>
          <w:tab w:val="left" w:pos="3388"/>
        </w:tabs>
        <w:spacing w:line="560" w:lineRule="exact"/>
        <w:ind w:firstLine="640"/>
        <w:jc w:val="left"/>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）成交候选人竞买资格审查</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电子挂牌交易结束后，电子挂牌竞价结果即时通过网上挂牌交易系统发布。成交候选人应当在电子挂牌竞价结果公布后，按挂牌出让公告及本须知的要求将相关资料提交至委托人，由委托人进行竞买资格审查。符合竞买资格的，确定成交候选人为竞得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不符合竞买资格的，取消成交候选人资格，竞价结果无效。</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挂牌出让公告规定竞买资格前置审查的，竞买申请人应按照挂牌出让公告的要求向委托人提交竞买申请文件，由委托人进行竞买资格审查。</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八</w:t>
      </w:r>
      <w:r>
        <w:rPr>
          <w:rFonts w:hint="eastAsia" w:ascii="仿宋" w:hAnsi="仿宋" w:eastAsia="仿宋" w:cs="仿宋"/>
          <w:color w:val="auto"/>
          <w:sz w:val="32"/>
          <w:szCs w:val="32"/>
        </w:rPr>
        <w:t>）公布交易结果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竞买资格前置审查的，交易系统自动公布交易结果；竞买资格后置审查的，委托人确定竞得人后，由本中心通过网上挂牌交易系统发布交易结果。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九</w:t>
      </w:r>
      <w:r>
        <w:rPr>
          <w:rFonts w:hint="eastAsia" w:ascii="仿宋" w:hAnsi="仿宋" w:eastAsia="仿宋" w:cs="仿宋"/>
          <w:color w:val="auto"/>
          <w:sz w:val="32"/>
          <w:szCs w:val="32"/>
        </w:rPr>
        <w:t>）签订成交确认书和交易合同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确定竞得人后，竞得人按挂牌交易公告规定的时间与委托人、本中心签订成交确认书，竞得人根据成交确认书约定的时间与委托人签订交易合同。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六、系统操作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网上挂牌交易系统竞买人操作视频可在本中心网上挂牌交易系统（https://www.hzgtjy.com/）下载。</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七、注意事项</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单独申请竞买的，竞买申请人为非本市注册登记的企业，在竞得土地后，必须于2个月内在本市市场监管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2个月内在本市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（四）《竞价结果通知书》对挂牌人和成交候选人具有法律效力，挂牌人改变网上挂牌结果的，或者成交候选人放弃竞得宗地的，应当承担相应法律责任。</w:t>
      </w:r>
    </w:p>
    <w:p>
      <w:pPr>
        <w:ind w:firstLine="960" w:firstLineChars="300"/>
        <w:rPr>
          <w:rFonts w:hint="eastAsia" w:ascii="仿宋" w:hAnsi="仿宋" w:eastAsia="仿宋" w:cs="仿宋"/>
          <w:color w:val="auto"/>
          <w:sz w:val="32"/>
          <w:szCs w:val="32"/>
        </w:rPr>
      </w:pPr>
      <w:r>
        <w:rPr>
          <w:rFonts w:hint="eastAsia" w:ascii="仿宋" w:hAnsi="仿宋" w:eastAsia="仿宋" w:cs="仿宋"/>
          <w:color w:val="auto"/>
          <w:sz w:val="32"/>
          <w:szCs w:val="32"/>
        </w:rPr>
        <w:t>竞得人应按挂牌出让公告规定的时间与</w:t>
      </w:r>
      <w:r>
        <w:rPr>
          <w:rFonts w:hint="eastAsia" w:ascii="仿宋" w:hAnsi="仿宋" w:eastAsia="仿宋" w:cs="仿宋"/>
          <w:color w:val="auto"/>
          <w:sz w:val="32"/>
          <w:szCs w:val="32"/>
          <w:lang w:eastAsia="zh-CN"/>
        </w:rPr>
        <w:t>本中心、</w:t>
      </w:r>
      <w:r>
        <w:rPr>
          <w:rFonts w:hint="eastAsia" w:ascii="仿宋" w:hAnsi="仿宋" w:eastAsia="仿宋" w:cs="仿宋"/>
          <w:color w:val="auto"/>
          <w:sz w:val="32"/>
          <w:szCs w:val="32"/>
        </w:rPr>
        <w:t>委托人签订成交确认书，根据成交确认书约定的时间与委托人签订出让合同，并按合同约定支付成交价款。</w:t>
      </w:r>
    </w:p>
    <w:p>
      <w:pPr>
        <w:numPr>
          <w:ilvl w:val="0"/>
          <w:numId w:val="2"/>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将于电子挂牌交易活动结束之日起5个工作日内带齐相关资料（《竞价结果通知书》、《保证金到账通知书》、保证金进账单等）到本中心退还保证金，不计利息。</w:t>
      </w:r>
    </w:p>
    <w:p>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竞得人交纳的竞买保证金转付成交价款，办理转付成交价款手续应带齐如下相关资料：</w:t>
      </w:r>
    </w:p>
    <w:p>
      <w:pPr>
        <w:numPr>
          <w:ilvl w:val="0"/>
          <w:numId w:val="3"/>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委托方开具的成交价款缴款单；</w:t>
      </w:r>
    </w:p>
    <w:p>
      <w:pPr>
        <w:pStyle w:val="2"/>
        <w:numPr>
          <w:ilvl w:val="0"/>
          <w:numId w:val="3"/>
        </w:numPr>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惠州市非税收入缴款通知；</w:t>
      </w:r>
    </w:p>
    <w:p>
      <w:pPr>
        <w:pStyle w:val="2"/>
        <w:numPr>
          <w:ilvl w:val="0"/>
          <w:numId w:val="3"/>
        </w:numPr>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银行端查询缴税凭证；</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、保证金到账通知书；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、交易结果通知书；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、保证金转账凭证。</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1、电子交易系统受到黑客、病毒恶意攻击的；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2、公共资源交易平台因停电、电子交易系统故障、网络故障、交易软件或数据库错误等因素影响到交易活动不能正常进行的；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3、电子交易系统发现有安全漏洞，有潜在泄密危险，无法保证电子交易信息安全和公平公正交易的；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4、政府有关行政主管部门及司法机关依法要求暂停、中止或终止交易的；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5、委托人书面通知交易中心要求暂停、中止或终止交易的；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6、依法应当暂停、中止或终止交易的其他情形。</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（十一）出让公告、竞买须知及相关交易文件需要修改、补充时，将通过原公告发布渠道公告，不作另行通知。</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（十二）本竞买须知及出让公告涉及的时间期限，以网上挂牌交易系统服务器的时间为准。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（十三）本中心对本《须知》有解释权。未尽事宜依照《招标拍卖挂牌出让国有土地使用权规范》办理。</w:t>
      </w: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jc w:val="cente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惠州市公共资源交易中心</w:t>
      </w:r>
    </w:p>
    <w:p>
      <w:pPr>
        <w:jc w:val="cente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2022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15</w:t>
      </w:r>
      <w:bookmarkStart w:id="0" w:name="_GoBack"/>
      <w:bookmarkEnd w:id="0"/>
      <w:r>
        <w:rPr>
          <w:rFonts w:hint="eastAsia" w:ascii="仿宋" w:hAnsi="仿宋" w:eastAsia="仿宋" w:cs="仿宋"/>
          <w:color w:val="auto"/>
          <w:sz w:val="32"/>
          <w:szCs w:val="32"/>
        </w:rPr>
        <w:t>日</w:t>
      </w:r>
    </w:p>
    <w:p>
      <w:pPr>
        <w:pStyle w:val="2"/>
        <w:keepNext w:val="0"/>
        <w:keepLines w:val="0"/>
        <w:pageBreakBefore w:val="0"/>
        <w:kinsoku/>
        <w:wordWrap/>
        <w:overflowPunct/>
        <w:topLinePunct w:val="0"/>
        <w:autoSpaceDN/>
        <w:bidi w:val="0"/>
        <w:adjustRightInd/>
        <w:spacing w:line="240" w:lineRule="auto"/>
        <w:ind w:left="0" w:leftChars="0" w:firstLine="0" w:firstLineChars="0"/>
        <w:textAlignment w:val="auto"/>
        <w:rPr>
          <w:rFonts w:hint="eastAsia" w:ascii="仿宋" w:hAnsi="仿宋" w:eastAsia="仿宋" w:cs="仿宋"/>
          <w:b w:val="0"/>
          <w:bCs w:val="0"/>
          <w:color w:val="auto"/>
          <w:sz w:val="32"/>
          <w:szCs w:val="32"/>
        </w:rPr>
      </w:pPr>
    </w:p>
    <w:p>
      <w:pPr>
        <w:pStyle w:val="2"/>
        <w:keepNext w:val="0"/>
        <w:keepLines w:val="0"/>
        <w:pageBreakBefore w:val="0"/>
        <w:kinsoku/>
        <w:wordWrap/>
        <w:overflowPunct/>
        <w:topLinePunct w:val="0"/>
        <w:autoSpaceDN/>
        <w:bidi w:val="0"/>
        <w:adjustRightInd/>
        <w:spacing w:line="240" w:lineRule="auto"/>
        <w:ind w:left="0" w:leftChars="0" w:firstLine="0" w:firstLineChars="0"/>
        <w:textAlignment w:val="auto"/>
        <w:rPr>
          <w:rFonts w:hint="eastAsia" w:ascii="仿宋" w:hAnsi="仿宋" w:eastAsia="仿宋" w:cs="仿宋"/>
          <w:b w:val="0"/>
          <w:bCs w:val="0"/>
          <w:color w:val="auto"/>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3695B3"/>
    <w:multiLevelType w:val="singleLevel"/>
    <w:tmpl w:val="BE3695B3"/>
    <w:lvl w:ilvl="0" w:tentative="0">
      <w:start w:val="5"/>
      <w:numFmt w:val="chineseCounting"/>
      <w:suff w:val="nothing"/>
      <w:lvlText w:val="（%1）"/>
      <w:lvlJc w:val="left"/>
      <w:rPr>
        <w:rFonts w:hint="eastAsia"/>
      </w:rPr>
    </w:lvl>
  </w:abstractNum>
  <w:abstractNum w:abstractNumId="1">
    <w:nsid w:val="50C9D9F3"/>
    <w:multiLevelType w:val="singleLevel"/>
    <w:tmpl w:val="50C9D9F3"/>
    <w:lvl w:ilvl="0" w:tentative="0">
      <w:start w:val="1"/>
      <w:numFmt w:val="decimal"/>
      <w:suff w:val="nothing"/>
      <w:lvlText w:val="%1、"/>
      <w:lvlJc w:val="left"/>
    </w:lvl>
  </w:abstractNum>
  <w:abstractNum w:abstractNumId="2">
    <w:nsid w:val="710D6983"/>
    <w:multiLevelType w:val="singleLevel"/>
    <w:tmpl w:val="710D6983"/>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3B4"/>
    <w:rsid w:val="00055381"/>
    <w:rsid w:val="00156890"/>
    <w:rsid w:val="00291F43"/>
    <w:rsid w:val="003846E2"/>
    <w:rsid w:val="003D7B27"/>
    <w:rsid w:val="00502E7E"/>
    <w:rsid w:val="00593588"/>
    <w:rsid w:val="00626965"/>
    <w:rsid w:val="00651A33"/>
    <w:rsid w:val="006F43B4"/>
    <w:rsid w:val="00723053"/>
    <w:rsid w:val="009F2092"/>
    <w:rsid w:val="009F209E"/>
    <w:rsid w:val="00A01903"/>
    <w:rsid w:val="00A26F37"/>
    <w:rsid w:val="00A62B04"/>
    <w:rsid w:val="00A703FF"/>
    <w:rsid w:val="00AB4CB1"/>
    <w:rsid w:val="00AB5656"/>
    <w:rsid w:val="00AE30A8"/>
    <w:rsid w:val="00B4275A"/>
    <w:rsid w:val="00B91373"/>
    <w:rsid w:val="00C31E7B"/>
    <w:rsid w:val="00D75C64"/>
    <w:rsid w:val="00E01788"/>
    <w:rsid w:val="00E070AA"/>
    <w:rsid w:val="00E47A66"/>
    <w:rsid w:val="00E80445"/>
    <w:rsid w:val="00EC35A5"/>
    <w:rsid w:val="012F32FC"/>
    <w:rsid w:val="017B32B1"/>
    <w:rsid w:val="039F6E44"/>
    <w:rsid w:val="04AA17FE"/>
    <w:rsid w:val="067362EB"/>
    <w:rsid w:val="09402008"/>
    <w:rsid w:val="0AE876EE"/>
    <w:rsid w:val="0DD737A7"/>
    <w:rsid w:val="0E1D2DC4"/>
    <w:rsid w:val="0E2071F3"/>
    <w:rsid w:val="0E2C2AB5"/>
    <w:rsid w:val="0FBE77CA"/>
    <w:rsid w:val="101713C8"/>
    <w:rsid w:val="102713DB"/>
    <w:rsid w:val="110903F6"/>
    <w:rsid w:val="11871C18"/>
    <w:rsid w:val="13055F11"/>
    <w:rsid w:val="13DC2CB8"/>
    <w:rsid w:val="166F2BF1"/>
    <w:rsid w:val="1794192C"/>
    <w:rsid w:val="17C37F2C"/>
    <w:rsid w:val="17EA1735"/>
    <w:rsid w:val="187E669C"/>
    <w:rsid w:val="1A31098E"/>
    <w:rsid w:val="1B261919"/>
    <w:rsid w:val="1B2A00D1"/>
    <w:rsid w:val="1BE73F47"/>
    <w:rsid w:val="1C9A1178"/>
    <w:rsid w:val="1D097D20"/>
    <w:rsid w:val="1E904230"/>
    <w:rsid w:val="1E945431"/>
    <w:rsid w:val="1FB504FE"/>
    <w:rsid w:val="1FFA383F"/>
    <w:rsid w:val="224E20DB"/>
    <w:rsid w:val="22937891"/>
    <w:rsid w:val="24610AB5"/>
    <w:rsid w:val="250733D2"/>
    <w:rsid w:val="27BC0E8D"/>
    <w:rsid w:val="285B64DE"/>
    <w:rsid w:val="29E1316E"/>
    <w:rsid w:val="29F80FE7"/>
    <w:rsid w:val="2D930E3D"/>
    <w:rsid w:val="2F220213"/>
    <w:rsid w:val="2F442A87"/>
    <w:rsid w:val="31575D41"/>
    <w:rsid w:val="31D86DCF"/>
    <w:rsid w:val="34013B56"/>
    <w:rsid w:val="36B610CD"/>
    <w:rsid w:val="37723635"/>
    <w:rsid w:val="3A5C1E5A"/>
    <w:rsid w:val="3B34068A"/>
    <w:rsid w:val="3B9610F4"/>
    <w:rsid w:val="3BB71C2D"/>
    <w:rsid w:val="3BD61A36"/>
    <w:rsid w:val="3D152C6B"/>
    <w:rsid w:val="3EC318D5"/>
    <w:rsid w:val="3F142B57"/>
    <w:rsid w:val="3F1A7FAA"/>
    <w:rsid w:val="3F3E0AB4"/>
    <w:rsid w:val="3F984213"/>
    <w:rsid w:val="402B776A"/>
    <w:rsid w:val="428E2D29"/>
    <w:rsid w:val="43D3409E"/>
    <w:rsid w:val="44A86E9A"/>
    <w:rsid w:val="45696BDB"/>
    <w:rsid w:val="465B0945"/>
    <w:rsid w:val="48526CD7"/>
    <w:rsid w:val="486B4F45"/>
    <w:rsid w:val="48AD19E8"/>
    <w:rsid w:val="49956A4F"/>
    <w:rsid w:val="4A730934"/>
    <w:rsid w:val="4C3E0A00"/>
    <w:rsid w:val="4CA65793"/>
    <w:rsid w:val="4D8A139E"/>
    <w:rsid w:val="4F42590E"/>
    <w:rsid w:val="4FB870F0"/>
    <w:rsid w:val="4FCE2F50"/>
    <w:rsid w:val="508C5CA4"/>
    <w:rsid w:val="52146C75"/>
    <w:rsid w:val="52EC3EDC"/>
    <w:rsid w:val="5316652D"/>
    <w:rsid w:val="5362398A"/>
    <w:rsid w:val="53BD4A78"/>
    <w:rsid w:val="58D008AE"/>
    <w:rsid w:val="59B92E76"/>
    <w:rsid w:val="5B745643"/>
    <w:rsid w:val="5C8578BA"/>
    <w:rsid w:val="5F300F59"/>
    <w:rsid w:val="5FCF5D35"/>
    <w:rsid w:val="616B0C9C"/>
    <w:rsid w:val="62844F25"/>
    <w:rsid w:val="664428A4"/>
    <w:rsid w:val="683F3018"/>
    <w:rsid w:val="684568B6"/>
    <w:rsid w:val="68BD0B09"/>
    <w:rsid w:val="68CD7763"/>
    <w:rsid w:val="6A4F4329"/>
    <w:rsid w:val="6AF12B3E"/>
    <w:rsid w:val="6C826573"/>
    <w:rsid w:val="6C8919B8"/>
    <w:rsid w:val="6CE76051"/>
    <w:rsid w:val="6E57741B"/>
    <w:rsid w:val="6E914841"/>
    <w:rsid w:val="6EB1052D"/>
    <w:rsid w:val="71576811"/>
    <w:rsid w:val="71CF0BED"/>
    <w:rsid w:val="71D66846"/>
    <w:rsid w:val="723C3332"/>
    <w:rsid w:val="726873F0"/>
    <w:rsid w:val="729D59B3"/>
    <w:rsid w:val="731759FD"/>
    <w:rsid w:val="734164C7"/>
    <w:rsid w:val="746E7275"/>
    <w:rsid w:val="751A7E63"/>
    <w:rsid w:val="76AC6A44"/>
    <w:rsid w:val="778B6418"/>
    <w:rsid w:val="779A0D22"/>
    <w:rsid w:val="7A436452"/>
    <w:rsid w:val="7A6A3136"/>
    <w:rsid w:val="7AFD1570"/>
    <w:rsid w:val="7B6E62FB"/>
    <w:rsid w:val="7D810E5F"/>
    <w:rsid w:val="7D84768B"/>
    <w:rsid w:val="7E2D0B3F"/>
    <w:rsid w:val="7E341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outlineLvl w:val="0"/>
    </w:pPr>
    <w:rPr>
      <w:rFonts w:eastAsia="楷体"/>
      <w:kern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4">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kern w:val="0"/>
      <w:sz w:val="24"/>
    </w:rPr>
  </w:style>
  <w:style w:type="character" w:styleId="10">
    <w:name w:val="page number"/>
    <w:basedOn w:val="9"/>
    <w:qFormat/>
    <w:uiPriority w:val="0"/>
  </w:style>
  <w:style w:type="paragraph" w:customStyle="1" w:styleId="11">
    <w:name w:val="批注文字 New New"/>
    <w:basedOn w:val="1"/>
    <w:qFormat/>
    <w:uiPriority w:val="0"/>
    <w:pPr>
      <w:jc w:val="left"/>
    </w:pPr>
    <w:rPr>
      <w:szCs w:val="20"/>
    </w:rPr>
  </w:style>
  <w:style w:type="character" w:customStyle="1" w:styleId="12">
    <w:name w:val="页眉 Char"/>
    <w:basedOn w:val="9"/>
    <w:link w:val="6"/>
    <w:semiHidden/>
    <w:qFormat/>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571</Words>
  <Characters>3261</Characters>
  <Lines>27</Lines>
  <Paragraphs>7</Paragraphs>
  <TotalTime>4</TotalTime>
  <ScaleCrop>false</ScaleCrop>
  <LinksUpToDate>false</LinksUpToDate>
  <CharactersWithSpaces>3825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2022-03-09T06:49:00Z</dcterms:created>
  <dc:creator>张小丽</dc:creator>
  <cp:lastModifiedBy>白艳萍</cp:lastModifiedBy>
  <cp:lastPrinted>2022-09-07T03:46:00Z</cp:lastPrinted>
  <dcterms:modified xsi:type="dcterms:W3CDTF">2022-11-15T02:19:42Z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