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小标宋_GBK" w:hAnsi="华文中宋" w:eastAsia="方正小标宋_GBK" w:cs="Times New Roman"/>
          <w:b/>
          <w:bCs/>
          <w:spacing w:val="3"/>
          <w:sz w:val="44"/>
          <w:szCs w:val="44"/>
        </w:rPr>
      </w:pPr>
      <w:r>
        <w:rPr>
          <w:rFonts w:hint="eastAsia" w:ascii="方正小标宋_GBK" w:hAnsi="华文中宋" w:eastAsia="方正小标宋_GBK" w:cs="Times New Roman"/>
          <w:b/>
          <w:bCs/>
          <w:spacing w:val="3"/>
          <w:sz w:val="44"/>
          <w:szCs w:val="44"/>
        </w:rPr>
        <w:t>惠州市国有建设用地使用权网上挂牌出让公告</w:t>
      </w:r>
    </w:p>
    <w:p>
      <w:pPr>
        <w:spacing w:line="520" w:lineRule="exact"/>
        <w:ind w:firstLine="640" w:firstLineChars="200"/>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惠公易土市直[202</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]0</w:t>
      </w:r>
      <w:r>
        <w:rPr>
          <w:rFonts w:hint="eastAsia" w:ascii="仿宋_GB2312" w:hAnsi="Calibri" w:eastAsia="仿宋_GB2312" w:cs="Times New Roman"/>
          <w:sz w:val="32"/>
          <w:szCs w:val="32"/>
          <w:lang w:val="en-US" w:eastAsia="zh-CN"/>
        </w:rPr>
        <w:t>02</w:t>
      </w:r>
      <w:r>
        <w:rPr>
          <w:rFonts w:hint="eastAsia" w:ascii="仿宋_GB2312" w:hAnsi="Calibri" w:eastAsia="仿宋_GB2312" w:cs="Times New Roman"/>
          <w:sz w:val="32"/>
          <w:szCs w:val="32"/>
        </w:rPr>
        <w:t>号</w:t>
      </w:r>
    </w:p>
    <w:p>
      <w:pPr>
        <w:spacing w:line="520" w:lineRule="exact"/>
        <w:rPr>
          <w:rFonts w:hint="eastAsia" w:ascii="方正小标宋_GBK" w:hAnsi="华文中宋" w:eastAsia="方正小标宋_GBK" w:cs="Times New Roman"/>
          <w:b/>
          <w:bCs/>
          <w:spacing w:val="3"/>
          <w:sz w:val="44"/>
          <w:szCs w:val="44"/>
        </w:rPr>
      </w:pPr>
      <w:r>
        <w:rPr>
          <w:rFonts w:hint="eastAsia" w:ascii="方正小标宋_GBK" w:hAnsi="华文中宋" w:eastAsia="方正小标宋_GBK" w:cs="Times New Roman"/>
          <w:b/>
          <w:bCs/>
          <w:spacing w:val="3"/>
          <w:sz w:val="44"/>
          <w:szCs w:val="44"/>
        </w:rPr>
        <w:t xml:space="preserve"> </w:t>
      </w:r>
    </w:p>
    <w:p/>
    <w:p>
      <w:pPr>
        <w:spacing w:line="560" w:lineRule="exact"/>
        <w:ind w:firstLine="627" w:firstLineChars="196"/>
        <w:rPr>
          <w:rFonts w:eastAsia="仿宋_GB2312" w:cs="Times New Roman"/>
          <w:sz w:val="32"/>
          <w:szCs w:val="32"/>
        </w:rPr>
      </w:pPr>
      <w:r>
        <w:rPr>
          <w:rFonts w:hint="eastAsia" w:eastAsia="仿宋_GB2312" w:cs="Times New Roman"/>
          <w:sz w:val="32"/>
          <w:szCs w:val="32"/>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一、网上挂牌出让地块基本情况及规划指标要求（见附表）。</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二、网上挂牌竞买时间为202</w:t>
      </w:r>
      <w:r>
        <w:rPr>
          <w:rFonts w:hint="eastAsia" w:eastAsia="仿宋_GB2312" w:cs="Times New Roman"/>
          <w:sz w:val="32"/>
          <w:szCs w:val="32"/>
          <w:lang w:val="en-US" w:eastAsia="zh-CN"/>
        </w:rPr>
        <w:t>2</w:t>
      </w:r>
      <w:r>
        <w:rPr>
          <w:rFonts w:hint="eastAsia" w:eastAsia="仿宋_GB2312" w:cs="Times New Roman"/>
          <w:sz w:val="32"/>
          <w:szCs w:val="32"/>
        </w:rPr>
        <w:t>年</w:t>
      </w:r>
      <w:r>
        <w:rPr>
          <w:rFonts w:hint="eastAsia" w:eastAsia="仿宋_GB2312" w:cs="Times New Roman"/>
          <w:sz w:val="32"/>
          <w:szCs w:val="32"/>
          <w:lang w:val="en-US" w:eastAsia="zh-CN"/>
        </w:rPr>
        <w:t>1</w:t>
      </w:r>
      <w:r>
        <w:rPr>
          <w:rFonts w:hint="eastAsia" w:eastAsia="仿宋_GB2312" w:cs="Times New Roman"/>
          <w:sz w:val="32"/>
          <w:szCs w:val="32"/>
        </w:rPr>
        <w:t>月</w:t>
      </w:r>
      <w:r>
        <w:rPr>
          <w:rFonts w:hint="eastAsia" w:eastAsia="仿宋_GB2312" w:cs="Times New Roman"/>
          <w:sz w:val="32"/>
          <w:szCs w:val="32"/>
          <w:lang w:val="en-US" w:eastAsia="zh-CN"/>
        </w:rPr>
        <w:t>21</w:t>
      </w:r>
      <w:r>
        <w:rPr>
          <w:rFonts w:hint="eastAsia" w:eastAsia="仿宋_GB2312" w:cs="Times New Roman"/>
          <w:sz w:val="32"/>
          <w:szCs w:val="32"/>
        </w:rPr>
        <w:t>日</w:t>
      </w:r>
      <w:r>
        <w:rPr>
          <w:rFonts w:hint="eastAsia" w:eastAsia="仿宋_GB2312" w:cs="Times New Roman"/>
          <w:sz w:val="32"/>
          <w:szCs w:val="32"/>
          <w:lang w:val="en-US" w:eastAsia="zh-CN"/>
        </w:rPr>
        <w:t>9</w:t>
      </w:r>
      <w:r>
        <w:rPr>
          <w:rFonts w:hint="eastAsia" w:eastAsia="仿宋_GB2312" w:cs="Times New Roman"/>
          <w:sz w:val="32"/>
          <w:szCs w:val="32"/>
        </w:rPr>
        <w:t>时至202</w:t>
      </w:r>
      <w:r>
        <w:rPr>
          <w:rFonts w:hint="eastAsia" w:eastAsia="仿宋_GB2312" w:cs="Times New Roman"/>
          <w:sz w:val="32"/>
          <w:szCs w:val="32"/>
          <w:lang w:val="en-US" w:eastAsia="zh-CN"/>
        </w:rPr>
        <w:t>2</w:t>
      </w:r>
      <w:r>
        <w:rPr>
          <w:rFonts w:hint="eastAsia" w:eastAsia="仿宋_GB2312" w:cs="Times New Roman"/>
          <w:sz w:val="32"/>
          <w:szCs w:val="32"/>
        </w:rPr>
        <w:t>年</w:t>
      </w:r>
      <w:r>
        <w:rPr>
          <w:rFonts w:hint="eastAsia" w:eastAsia="仿宋_GB2312" w:cs="Times New Roman"/>
          <w:sz w:val="32"/>
          <w:szCs w:val="32"/>
          <w:lang w:val="en-US" w:eastAsia="zh-CN"/>
        </w:rPr>
        <w:t>2</w:t>
      </w:r>
      <w:r>
        <w:rPr>
          <w:rFonts w:hint="eastAsia" w:eastAsia="仿宋_GB2312" w:cs="Times New Roman"/>
          <w:sz w:val="32"/>
          <w:szCs w:val="32"/>
        </w:rPr>
        <w:t>月</w:t>
      </w:r>
      <w:r>
        <w:rPr>
          <w:rFonts w:hint="eastAsia" w:eastAsia="仿宋_GB2312" w:cs="Times New Roman"/>
          <w:sz w:val="32"/>
          <w:szCs w:val="32"/>
          <w:lang w:val="en-US" w:eastAsia="zh-CN"/>
        </w:rPr>
        <w:t>9</w:t>
      </w:r>
      <w:r>
        <w:rPr>
          <w:rFonts w:hint="eastAsia" w:eastAsia="仿宋_GB2312" w:cs="Times New Roman"/>
          <w:sz w:val="32"/>
          <w:szCs w:val="32"/>
        </w:rPr>
        <w:t>日</w:t>
      </w:r>
      <w:r>
        <w:rPr>
          <w:rFonts w:hint="eastAsia" w:eastAsia="仿宋_GB2312" w:cs="Times New Roman"/>
          <w:sz w:val="32"/>
          <w:szCs w:val="32"/>
          <w:lang w:val="en-US" w:eastAsia="zh-CN"/>
        </w:rPr>
        <w:t>10</w:t>
      </w:r>
      <w:r>
        <w:rPr>
          <w:rFonts w:hint="eastAsia" w:eastAsia="仿宋_GB2312" w:cs="Times New Roman"/>
          <w:sz w:val="32"/>
          <w:szCs w:val="32"/>
        </w:rPr>
        <w:t>时。</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三、挂牌起始价为人民币</w:t>
      </w:r>
      <w:r>
        <w:rPr>
          <w:rFonts w:eastAsia="仿宋_GB2312" w:cs="Times New Roman"/>
          <w:sz w:val="32"/>
          <w:szCs w:val="32"/>
        </w:rPr>
        <w:t>1760</w:t>
      </w:r>
      <w:r>
        <w:rPr>
          <w:rFonts w:hint="eastAsia" w:eastAsia="仿宋_GB2312" w:cs="Times New Roman"/>
          <w:sz w:val="32"/>
          <w:szCs w:val="32"/>
        </w:rPr>
        <w:t>万元，每次报价加价幅度为人民币50万元的整数倍。</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四、中华人民共和国境内外的法人、自然人和其他组织（除法律法规另有规定外）均可申请参加竞买。申请人可以单独申请，也可以联合申请：</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五、该宗地竞买保证金可用人民币及外币（暂限于美元、港币）支付。</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六、申请人应具备的其他条件：</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（一）缴交竞买保证金</w:t>
      </w:r>
      <w:r>
        <w:rPr>
          <w:rFonts w:eastAsia="仿宋_GB2312" w:cs="Times New Roman"/>
          <w:sz w:val="32"/>
          <w:szCs w:val="32"/>
        </w:rPr>
        <w:t>528</w:t>
      </w:r>
      <w:r>
        <w:rPr>
          <w:rFonts w:hint="eastAsia" w:eastAsia="仿宋_GB2312" w:cs="Times New Roman"/>
          <w:sz w:val="32"/>
          <w:szCs w:val="32"/>
        </w:rPr>
        <w:t>万元人民币，如以外币缴交竞买保证金的，须缴交美元8</w:t>
      </w:r>
      <w:r>
        <w:rPr>
          <w:rFonts w:hint="eastAsia" w:eastAsia="仿宋_GB2312" w:cs="Times New Roman"/>
          <w:sz w:val="32"/>
          <w:szCs w:val="32"/>
          <w:lang w:val="en-US" w:eastAsia="zh-CN"/>
        </w:rPr>
        <w:t>5</w:t>
      </w:r>
      <w:r>
        <w:rPr>
          <w:rFonts w:hint="eastAsia" w:eastAsia="仿宋_GB2312" w:cs="Times New Roman"/>
          <w:sz w:val="32"/>
          <w:szCs w:val="32"/>
        </w:rPr>
        <w:t>万元或港币645万元；</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（二）存在下列违法违规违约行为之一的企业及其控股股东，不得参与竞买上述地块：</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1、存在伪造公文骗取用地和非法倒卖土地等犯罪行为的；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2、存在非法转让土地使用权等违法行为的；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3、因企业原因造成土地闲置一年以上且至报名日止未处罚完结的；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4、开发建设企业有违背出让合同约定条件开发利用土地情形且至报名日止未处罚完结的；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5、至报名日止仍拖欠政府地价款的;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6、被列入问题楼盘开发企业黑名单的;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7、存在其它被禁止竞买土地行为的。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七、本次国有建设用地使用权网上挂牌出让，按照价高者得的原则确定竞得人。</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八、本次网上挂牌出让的详细资料和具体要求，见惠州市公共资源交易中心土地与矿业网上挂牌交易系统（https://www.hzgtjy.com/）。申请人可在网上挂牌交易系统下载挂牌出让公告、须知及相关交易文件，并按上述文件规定的操作程序在网上参加竞买。</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九、有意竞买者可以自行到地块现场踏勘（可在网上挂牌交易系统查阅位置图和现状图）。</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十、申请人应当在网上挂牌出让结束前登陆惠州市公共资源交易中心土地与矿业网上挂牌交易系统并在系统上向惠州市公共资源交易中心提交竞买申请并支付保证金。网上挂牌保证金到账截止时间为202</w:t>
      </w:r>
      <w:r>
        <w:rPr>
          <w:rFonts w:hint="eastAsia" w:eastAsia="仿宋_GB2312" w:cs="Times New Roman"/>
          <w:sz w:val="32"/>
          <w:szCs w:val="32"/>
          <w:lang w:val="en-US" w:eastAsia="zh-CN"/>
        </w:rPr>
        <w:t>2</w:t>
      </w:r>
      <w:r>
        <w:rPr>
          <w:rFonts w:hint="eastAsia" w:eastAsia="仿宋_GB2312" w:cs="Times New Roman"/>
          <w:sz w:val="32"/>
          <w:szCs w:val="32"/>
        </w:rPr>
        <w:t>年</w:t>
      </w:r>
      <w:r>
        <w:rPr>
          <w:rFonts w:hint="eastAsia" w:eastAsia="仿宋_GB2312" w:cs="Times New Roman"/>
          <w:sz w:val="32"/>
          <w:szCs w:val="32"/>
          <w:lang w:val="en-US" w:eastAsia="zh-CN"/>
        </w:rPr>
        <w:t>2</w:t>
      </w:r>
      <w:r>
        <w:rPr>
          <w:rFonts w:hint="eastAsia" w:eastAsia="仿宋_GB2312" w:cs="Times New Roman"/>
          <w:sz w:val="32"/>
          <w:szCs w:val="32"/>
        </w:rPr>
        <w:t>月</w:t>
      </w:r>
      <w:r>
        <w:rPr>
          <w:rFonts w:hint="eastAsia" w:eastAsia="仿宋_GB2312" w:cs="Times New Roman"/>
          <w:sz w:val="32"/>
          <w:szCs w:val="32"/>
          <w:lang w:val="en-US" w:eastAsia="zh-CN"/>
        </w:rPr>
        <w:t>9</w:t>
      </w:r>
      <w:r>
        <w:rPr>
          <w:rFonts w:hint="eastAsia" w:eastAsia="仿宋_GB2312" w:cs="Times New Roman"/>
          <w:sz w:val="32"/>
          <w:szCs w:val="32"/>
        </w:rPr>
        <w:t>日上午9时止。网上挂牌报价时间截止时，经系统询问，有竞买人表示愿意继续竞价的，系统自动进入网上限时竞价程序，通过竞价确定竞得人。</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十二、</w:t>
      </w:r>
      <w:r>
        <w:rPr>
          <w:rFonts w:eastAsia="仿宋_GB2312" w:cs="Times New Roman"/>
          <w:sz w:val="32"/>
          <w:szCs w:val="32"/>
        </w:rPr>
        <w:t>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土地成交价款。</w:t>
      </w:r>
    </w:p>
    <w:p>
      <w:pPr>
        <w:spacing w:line="560" w:lineRule="exact"/>
        <w:ind w:firstLine="627" w:firstLineChars="196"/>
        <w:rPr>
          <w:rFonts w:eastAsia="仿宋_GB2312" w:cs="Times New Roman"/>
          <w:sz w:val="32"/>
          <w:szCs w:val="32"/>
        </w:rPr>
      </w:pPr>
      <w:r>
        <w:rPr>
          <w:rFonts w:eastAsia="仿宋_GB2312" w:cs="Times New Roman"/>
          <w:sz w:val="32"/>
          <w:szCs w:val="32"/>
        </w:rPr>
        <w:t>以外币缴交竞买保证金的，扣除定金后余额部分返回给竞得人，待竞得人按时缴清土地成交价款后，再将定金退还，不计利息。</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十三、其它需要公告的事项</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（一）开发投资总额不少于5700万元（含地价，不含地价溢价部分）。</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（二）竞得人在用地红线内开发建设必须符合城市规划要求，必须按《建设用地规划设计条件》（案卷编号：</w:t>
      </w:r>
      <w:r>
        <w:rPr>
          <w:rFonts w:eastAsia="仿宋_GB2312" w:cs="Times New Roman"/>
          <w:sz w:val="32"/>
          <w:szCs w:val="32"/>
        </w:rPr>
        <w:t>PB20210083</w:t>
      </w:r>
      <w:r>
        <w:rPr>
          <w:rFonts w:hint="eastAsia" w:eastAsia="仿宋_GB2312" w:cs="Times New Roman"/>
          <w:sz w:val="32"/>
          <w:szCs w:val="32"/>
        </w:rPr>
        <w:t>）规划控制指标要求及有关规定进行规划设计；</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w:t>
      </w:r>
      <w:r>
        <w:rPr>
          <w:rFonts w:hint="eastAsia" w:eastAsia="仿宋_GB2312" w:cs="Times New Roman"/>
          <w:sz w:val="32"/>
          <w:szCs w:val="32"/>
          <w:lang w:val="en-US" w:eastAsia="zh-CN"/>
        </w:rPr>
        <w:t>三</w:t>
      </w:r>
      <w:r>
        <w:rPr>
          <w:rFonts w:hint="eastAsia" w:eastAsia="仿宋_GB2312" w:cs="Times New Roman"/>
          <w:sz w:val="32"/>
          <w:szCs w:val="32"/>
        </w:rPr>
        <w:t>）土地成交价款须以人民币支付，竞得人须在签订《出让合同》之日起一个月内缴清土地成交价款。</w:t>
      </w:r>
    </w:p>
    <w:p>
      <w:pPr>
        <w:spacing w:line="470" w:lineRule="exact"/>
        <w:ind w:firstLine="627" w:firstLineChars="196"/>
        <w:rPr>
          <w:rFonts w:eastAsia="仿宋_GB2312" w:cs="Times New Roman"/>
          <w:sz w:val="32"/>
          <w:szCs w:val="32"/>
        </w:rPr>
      </w:pPr>
      <w:r>
        <w:rPr>
          <w:rFonts w:hint="eastAsia" w:eastAsia="仿宋_GB2312" w:cs="Times New Roman"/>
          <w:sz w:val="32"/>
          <w:szCs w:val="32"/>
        </w:rPr>
        <w:t>（</w:t>
      </w:r>
      <w:r>
        <w:rPr>
          <w:rFonts w:hint="eastAsia" w:eastAsia="仿宋_GB2312" w:cs="Times New Roman"/>
          <w:sz w:val="32"/>
          <w:szCs w:val="32"/>
          <w:lang w:val="en-US" w:eastAsia="zh-CN"/>
        </w:rPr>
        <w:t>四</w:t>
      </w:r>
      <w:r>
        <w:rPr>
          <w:rFonts w:hint="eastAsia" w:eastAsia="仿宋_GB2312" w:cs="Times New Roman"/>
          <w:sz w:val="32"/>
          <w:szCs w:val="32"/>
        </w:rPr>
        <w:t>）</w:t>
      </w:r>
      <w:r>
        <w:rPr>
          <w:rFonts w:eastAsia="仿宋_GB2312" w:cs="Times New Roman"/>
          <w:sz w:val="32"/>
          <w:szCs w:val="32"/>
        </w:rPr>
        <w:t>该地属政府储备地，没有法律经济纠纷，具备动工开发所必须的基本条件。</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w:t>
      </w:r>
      <w:r>
        <w:rPr>
          <w:rFonts w:hint="eastAsia" w:eastAsia="仿宋_GB2312" w:cs="Times New Roman"/>
          <w:sz w:val="32"/>
          <w:szCs w:val="32"/>
          <w:lang w:val="en-US" w:eastAsia="zh-CN"/>
        </w:rPr>
        <w:t>五</w:t>
      </w:r>
      <w:r>
        <w:rPr>
          <w:rFonts w:hint="eastAsia" w:eastAsia="仿宋_GB2312" w:cs="Times New Roman"/>
          <w:sz w:val="32"/>
          <w:szCs w:val="32"/>
        </w:rPr>
        <w:t>）竞得人有下列行为之一的，</w:t>
      </w:r>
      <w:r>
        <w:rPr>
          <w:rFonts w:eastAsia="仿宋_GB2312" w:cs="Times New Roman"/>
          <w:sz w:val="32"/>
          <w:szCs w:val="32"/>
        </w:rPr>
        <w:t>取消竞得人资格，竞买保证金不予退还</w:t>
      </w:r>
      <w:r>
        <w:rPr>
          <w:rFonts w:hint="eastAsia" w:eastAsia="仿宋_GB2312" w:cs="Times New Roman"/>
          <w:sz w:val="32"/>
          <w:szCs w:val="32"/>
        </w:rPr>
        <w:t>，并由有关部门依法处理；造成损失的，竞得人还应依法承担赔偿责任：</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1、不符合竞买资格条件的；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2、采取行贿、恶意串通等非法手段竞得的；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3、竞得人以其他非法手段竞得的；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4、竞得人逾期或拒绝签订《成交确认书》的；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5、竞得人逾期或拒绝签订《出让合同》的；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6、不按本须知规定提供有关纸质文件材料，或提供虚假文件材料、隐瞒重要事实，引起交易纠纷的；</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7、构成违约责任的其他行为。</w:t>
      </w:r>
    </w:p>
    <w:p>
      <w:pPr>
        <w:spacing w:line="560" w:lineRule="exact"/>
        <w:ind w:firstLine="627" w:firstLineChars="196"/>
        <w:rPr>
          <w:rFonts w:eastAsia="仿宋_GB2312" w:cs="Times New Roman"/>
          <w:sz w:val="32"/>
          <w:szCs w:val="32"/>
        </w:rPr>
      </w:pPr>
      <w:r>
        <w:rPr>
          <w:rFonts w:hint="eastAsia" w:eastAsia="仿宋_GB2312" w:cs="Times New Roman"/>
          <w:sz w:val="32"/>
          <w:szCs w:val="32"/>
        </w:rPr>
        <w:t>（</w:t>
      </w:r>
      <w:r>
        <w:rPr>
          <w:rFonts w:hint="eastAsia" w:eastAsia="仿宋_GB2312" w:cs="Times New Roman"/>
          <w:sz w:val="32"/>
          <w:szCs w:val="32"/>
          <w:lang w:val="en-US" w:eastAsia="zh-CN"/>
        </w:rPr>
        <w:t>六</w:t>
      </w:r>
      <w:r>
        <w:rPr>
          <w:rFonts w:hint="eastAsia" w:eastAsia="仿宋_GB2312" w:cs="Times New Roman"/>
          <w:sz w:val="32"/>
          <w:szCs w:val="32"/>
        </w:rPr>
        <w:t>）挂牌出让价款不含应由竞得人缴纳的契税、印花税等有关费用。</w:t>
      </w:r>
    </w:p>
    <w:p>
      <w:pPr>
        <w:spacing w:line="560" w:lineRule="exact"/>
        <w:ind w:firstLine="627" w:firstLineChars="196"/>
        <w:rPr>
          <w:rFonts w:eastAsia="仿宋_GB2312" w:cs="Times New Roman"/>
          <w:sz w:val="32"/>
          <w:szCs w:val="32"/>
        </w:rPr>
      </w:pPr>
      <w:r>
        <w:rPr>
          <w:rFonts w:eastAsia="仿宋_GB2312" w:cs="Times New Roman"/>
          <w:sz w:val="32"/>
          <w:szCs w:val="32"/>
        </w:rPr>
        <w:t>十四、联系方式：</w:t>
      </w:r>
    </w:p>
    <w:p>
      <w:pPr>
        <w:spacing w:line="560" w:lineRule="exact"/>
        <w:ind w:firstLine="627" w:firstLineChars="196"/>
        <w:rPr>
          <w:rFonts w:eastAsia="仿宋_GB2312" w:cs="Times New Roman"/>
          <w:sz w:val="32"/>
          <w:szCs w:val="32"/>
        </w:rPr>
      </w:pPr>
      <w:r>
        <w:rPr>
          <w:rFonts w:eastAsia="仿宋_GB2312" w:cs="Times New Roman"/>
          <w:sz w:val="32"/>
          <w:szCs w:val="32"/>
        </w:rPr>
        <w:t>（一）惠州市自然资源局</w:t>
      </w:r>
    </w:p>
    <w:p>
      <w:pPr>
        <w:spacing w:line="560" w:lineRule="exact"/>
        <w:ind w:firstLine="627" w:firstLineChars="196"/>
        <w:rPr>
          <w:rFonts w:eastAsia="仿宋_GB2312" w:cs="Times New Roman"/>
          <w:sz w:val="32"/>
          <w:szCs w:val="32"/>
        </w:rPr>
      </w:pPr>
      <w:r>
        <w:rPr>
          <w:rFonts w:eastAsia="仿宋_GB2312" w:cs="Times New Roman"/>
          <w:sz w:val="32"/>
          <w:szCs w:val="32"/>
        </w:rPr>
        <w:t>联系地址：惠州市江北三新南路7号</w:t>
      </w:r>
    </w:p>
    <w:p>
      <w:pPr>
        <w:spacing w:line="560" w:lineRule="exact"/>
        <w:ind w:firstLine="627" w:firstLineChars="196"/>
        <w:rPr>
          <w:rFonts w:eastAsia="仿宋_GB2312" w:cs="Times New Roman"/>
          <w:sz w:val="32"/>
          <w:szCs w:val="32"/>
        </w:rPr>
      </w:pPr>
      <w:r>
        <w:rPr>
          <w:rFonts w:eastAsia="仿宋_GB2312" w:cs="Times New Roman"/>
          <w:sz w:val="32"/>
          <w:szCs w:val="32"/>
        </w:rPr>
        <w:t>联系人：</w:t>
      </w:r>
      <w:r>
        <w:rPr>
          <w:rFonts w:hint="eastAsia" w:eastAsia="仿宋_GB2312" w:cs="Times New Roman"/>
          <w:sz w:val="32"/>
          <w:szCs w:val="32"/>
        </w:rPr>
        <w:t>王小姐</w:t>
      </w:r>
    </w:p>
    <w:p>
      <w:pPr>
        <w:spacing w:line="560" w:lineRule="exact"/>
        <w:ind w:firstLine="627" w:firstLineChars="196"/>
        <w:rPr>
          <w:rFonts w:eastAsia="仿宋_GB2312" w:cs="Times New Roman"/>
          <w:sz w:val="32"/>
          <w:szCs w:val="32"/>
        </w:rPr>
      </w:pPr>
      <w:r>
        <w:rPr>
          <w:rFonts w:eastAsia="仿宋_GB2312" w:cs="Times New Roman"/>
          <w:sz w:val="32"/>
          <w:szCs w:val="32"/>
        </w:rPr>
        <w:t>联系电话：（0752）2896</w:t>
      </w:r>
      <w:r>
        <w:rPr>
          <w:rFonts w:hint="eastAsia" w:eastAsia="仿宋_GB2312" w:cs="Times New Roman"/>
          <w:sz w:val="32"/>
          <w:szCs w:val="32"/>
        </w:rPr>
        <w:t>313</w:t>
      </w:r>
    </w:p>
    <w:p>
      <w:pPr>
        <w:spacing w:line="560" w:lineRule="exact"/>
        <w:ind w:firstLine="627" w:firstLineChars="196"/>
        <w:rPr>
          <w:rFonts w:eastAsia="仿宋_GB2312" w:cs="Times New Roman"/>
          <w:sz w:val="32"/>
          <w:szCs w:val="32"/>
        </w:rPr>
      </w:pPr>
      <w:r>
        <w:rPr>
          <w:rFonts w:eastAsia="仿宋_GB2312" w:cs="Times New Roman"/>
          <w:sz w:val="32"/>
          <w:szCs w:val="32"/>
        </w:rPr>
        <w:t>（二）惠州市公共资源交易中心</w:t>
      </w:r>
    </w:p>
    <w:p>
      <w:pPr>
        <w:spacing w:line="560" w:lineRule="exact"/>
        <w:ind w:firstLine="627" w:firstLineChars="196"/>
        <w:rPr>
          <w:rFonts w:eastAsia="仿宋_GB2312" w:cs="Times New Roman"/>
          <w:sz w:val="32"/>
          <w:szCs w:val="32"/>
        </w:rPr>
      </w:pPr>
      <w:r>
        <w:rPr>
          <w:rFonts w:eastAsia="仿宋_GB2312" w:cs="Times New Roman"/>
          <w:sz w:val="32"/>
          <w:szCs w:val="32"/>
        </w:rPr>
        <w:t>联系地址：广东省惠州市惠城区三新北路31号市民服</w:t>
      </w:r>
    </w:p>
    <w:p>
      <w:pPr>
        <w:spacing w:line="560" w:lineRule="exact"/>
        <w:ind w:firstLine="627" w:firstLineChars="196"/>
        <w:rPr>
          <w:rFonts w:eastAsia="仿宋_GB2312" w:cs="Times New Roman"/>
          <w:sz w:val="32"/>
          <w:szCs w:val="32"/>
        </w:rPr>
      </w:pPr>
      <w:r>
        <w:rPr>
          <w:rFonts w:eastAsia="仿宋_GB2312" w:cs="Times New Roman"/>
          <w:sz w:val="32"/>
          <w:szCs w:val="32"/>
        </w:rPr>
        <w:t>务中心3号楼一楼108室</w:t>
      </w:r>
    </w:p>
    <w:p>
      <w:pPr>
        <w:spacing w:line="560" w:lineRule="exact"/>
        <w:ind w:firstLine="627" w:firstLineChars="196"/>
        <w:rPr>
          <w:rFonts w:eastAsia="仿宋_GB2312" w:cs="Times New Roman"/>
          <w:sz w:val="32"/>
          <w:szCs w:val="32"/>
        </w:rPr>
      </w:pPr>
      <w:r>
        <w:rPr>
          <w:rFonts w:eastAsia="仿宋_GB2312" w:cs="Times New Roman"/>
          <w:sz w:val="32"/>
          <w:szCs w:val="32"/>
        </w:rPr>
        <w:t>联系人：袁小姐、</w:t>
      </w:r>
      <w:r>
        <w:rPr>
          <w:rFonts w:hint="eastAsia" w:eastAsia="仿宋_GB2312" w:cs="Times New Roman"/>
          <w:sz w:val="32"/>
          <w:szCs w:val="32"/>
          <w:lang w:val="en-US" w:eastAsia="zh-CN"/>
        </w:rPr>
        <w:t>叶</w:t>
      </w:r>
      <w:r>
        <w:rPr>
          <w:rFonts w:eastAsia="仿宋_GB2312" w:cs="Times New Roman"/>
          <w:sz w:val="32"/>
          <w:szCs w:val="32"/>
        </w:rPr>
        <w:t>小姐</w:t>
      </w:r>
    </w:p>
    <w:p>
      <w:pPr>
        <w:spacing w:line="560" w:lineRule="exact"/>
        <w:ind w:firstLine="627" w:firstLineChars="196"/>
        <w:rPr>
          <w:rFonts w:eastAsia="仿宋_GB2312" w:cs="Times New Roman"/>
          <w:sz w:val="32"/>
          <w:szCs w:val="32"/>
        </w:rPr>
      </w:pPr>
      <w:r>
        <w:rPr>
          <w:rFonts w:eastAsia="仿宋_GB2312" w:cs="Times New Roman"/>
          <w:sz w:val="32"/>
          <w:szCs w:val="32"/>
        </w:rPr>
        <w:t>联系电话：（0752）7121026、7121042</w:t>
      </w:r>
    </w:p>
    <w:p>
      <w:pPr>
        <w:spacing w:line="560" w:lineRule="exact"/>
        <w:ind w:firstLine="627" w:firstLineChars="196"/>
        <w:rPr>
          <w:rFonts w:eastAsia="仿宋_GB2312" w:cs="Times New Roman"/>
          <w:sz w:val="32"/>
          <w:szCs w:val="32"/>
        </w:rPr>
      </w:pPr>
      <w:r>
        <w:rPr>
          <w:rFonts w:eastAsia="仿宋_GB2312" w:cs="Times New Roman"/>
          <w:sz w:val="32"/>
          <w:szCs w:val="32"/>
        </w:rPr>
        <w:t>注：本公告同时在下列网站及场所发布</w:t>
      </w:r>
    </w:p>
    <w:p>
      <w:pPr>
        <w:spacing w:line="560" w:lineRule="exact"/>
        <w:ind w:firstLine="627" w:firstLineChars="196"/>
        <w:rPr>
          <w:rFonts w:eastAsia="仿宋_GB2312" w:cs="Times New Roman"/>
          <w:sz w:val="32"/>
          <w:szCs w:val="32"/>
        </w:rPr>
      </w:pPr>
      <w:r>
        <w:rPr>
          <w:rFonts w:eastAsia="仿宋_GB2312" w:cs="Times New Roman"/>
          <w:sz w:val="32"/>
          <w:szCs w:val="32"/>
        </w:rPr>
        <w:t>中国土地市场网: http://www.landchina.com</w:t>
      </w:r>
    </w:p>
    <w:p>
      <w:pPr>
        <w:spacing w:line="560" w:lineRule="exact"/>
        <w:ind w:firstLine="627" w:firstLineChars="196"/>
        <w:rPr>
          <w:rFonts w:eastAsia="仿宋_GB2312" w:cs="Times New Roman"/>
          <w:sz w:val="32"/>
          <w:szCs w:val="32"/>
        </w:rPr>
      </w:pPr>
      <w:r>
        <w:rPr>
          <w:rFonts w:eastAsia="仿宋_GB2312" w:cs="Times New Roman"/>
          <w:sz w:val="32"/>
          <w:szCs w:val="32"/>
        </w:rPr>
        <w:t>惠州市自然资源局网站：http://land.huizhou.gov.cn</w:t>
      </w:r>
    </w:p>
    <w:p>
      <w:pPr>
        <w:spacing w:line="560" w:lineRule="exact"/>
        <w:ind w:firstLine="627" w:firstLineChars="196"/>
        <w:rPr>
          <w:rFonts w:eastAsia="仿宋_GB2312" w:cs="Times New Roman"/>
          <w:sz w:val="32"/>
          <w:szCs w:val="32"/>
        </w:rPr>
      </w:pPr>
      <w:r>
        <w:rPr>
          <w:rFonts w:eastAsia="仿宋_GB2312" w:cs="Times New Roman"/>
          <w:sz w:val="32"/>
          <w:szCs w:val="32"/>
        </w:rPr>
        <w:t>惠州市公共资源交易中心网：</w:t>
      </w:r>
      <w:r>
        <w:fldChar w:fldCharType="begin"/>
      </w:r>
      <w:r>
        <w:instrText xml:space="preserve"> HYPERLINK "http://zyjy.huizhou.gov.cn" </w:instrText>
      </w:r>
      <w:r>
        <w:fldChar w:fldCharType="separate"/>
      </w:r>
      <w:r>
        <w:rPr>
          <w:rFonts w:eastAsia="仿宋_GB2312" w:cs="Times New Roman"/>
          <w:sz w:val="32"/>
          <w:szCs w:val="32"/>
        </w:rPr>
        <w:t>http://zyjy.huizhou.gov.cn</w:t>
      </w:r>
      <w:r>
        <w:rPr>
          <w:rFonts w:eastAsia="仿宋_GB2312" w:cs="Times New Roman"/>
          <w:sz w:val="32"/>
          <w:szCs w:val="32"/>
        </w:rPr>
        <w:fldChar w:fldCharType="end"/>
      </w:r>
    </w:p>
    <w:p>
      <w:pPr>
        <w:spacing w:line="560" w:lineRule="exact"/>
        <w:ind w:firstLine="627" w:firstLineChars="196"/>
        <w:rPr>
          <w:rFonts w:eastAsia="仿宋_GB2312" w:cs="Times New Roman"/>
          <w:sz w:val="32"/>
          <w:szCs w:val="32"/>
        </w:rPr>
      </w:pPr>
      <w:r>
        <w:rPr>
          <w:rFonts w:eastAsia="仿宋_GB2312" w:cs="Times New Roman"/>
          <w:sz w:val="32"/>
          <w:szCs w:val="32"/>
        </w:rPr>
        <w:t>惠州市公共资源交易中心交易大厅现场。</w:t>
      </w:r>
    </w:p>
    <w:p>
      <w:pPr>
        <w:widowControl/>
        <w:spacing w:line="640" w:lineRule="atLeast"/>
        <w:ind w:firstLine="640" w:firstLineChars="200"/>
        <w:rPr>
          <w:rFonts w:eastAsia="仿宋_GB2312" w:cs="Times New Roman"/>
          <w:sz w:val="32"/>
        </w:rPr>
      </w:pPr>
      <w:r>
        <w:rPr>
          <w:rFonts w:eastAsia="仿宋_GB2312" w:cs="Times New Roman"/>
          <w:sz w:val="32"/>
        </w:rPr>
        <w:t>数字证书办理地址：广东省惠州市惠城区三新北路31号市民服务中心3号楼惠州市公共资源交易中心一楼大厅1号土地与矿业交易窗口。</w:t>
      </w:r>
    </w:p>
    <w:p>
      <w:pPr>
        <w:widowControl/>
        <w:spacing w:line="640" w:lineRule="atLeast"/>
        <w:ind w:firstLine="640" w:firstLineChars="200"/>
        <w:rPr>
          <w:rFonts w:eastAsia="仿宋_GB2312" w:cs="Times New Roman"/>
          <w:sz w:val="32"/>
        </w:rPr>
      </w:pPr>
      <w:r>
        <w:rPr>
          <w:rFonts w:eastAsia="仿宋_GB2312" w:cs="Times New Roman"/>
          <w:sz w:val="32"/>
        </w:rPr>
        <w:t>联系人：罗工</w:t>
      </w:r>
    </w:p>
    <w:p>
      <w:pPr>
        <w:widowControl/>
        <w:spacing w:line="640" w:lineRule="atLeast"/>
        <w:ind w:firstLine="640" w:firstLineChars="200"/>
        <w:rPr>
          <w:rFonts w:eastAsia="仿宋_GB2312" w:cs="Times New Roman"/>
          <w:sz w:val="32"/>
        </w:rPr>
      </w:pPr>
      <w:r>
        <w:rPr>
          <w:rFonts w:eastAsia="仿宋_GB2312" w:cs="Times New Roman"/>
          <w:sz w:val="32"/>
        </w:rPr>
        <w:t>联系电话：0752-7121029</w:t>
      </w:r>
    </w:p>
    <w:p>
      <w:pPr>
        <w:spacing w:line="560" w:lineRule="exact"/>
        <w:ind w:firstLine="627" w:firstLineChars="196"/>
        <w:rPr>
          <w:rFonts w:eastAsia="仿宋_GB2312" w:cs="Times New Roman"/>
          <w:sz w:val="32"/>
          <w:szCs w:val="32"/>
        </w:rPr>
      </w:pPr>
    </w:p>
    <w:p>
      <w:pPr>
        <w:spacing w:line="560" w:lineRule="exact"/>
        <w:ind w:firstLine="627" w:firstLineChars="196"/>
        <w:rPr>
          <w:rFonts w:eastAsia="仿宋_GB2312" w:cs="Times New Roman"/>
          <w:sz w:val="32"/>
          <w:szCs w:val="32"/>
        </w:rPr>
      </w:pPr>
    </w:p>
    <w:p>
      <w:pPr>
        <w:spacing w:line="560" w:lineRule="exact"/>
        <w:ind w:firstLine="627" w:firstLineChars="196"/>
        <w:jc w:val="right"/>
        <w:rPr>
          <w:rFonts w:eastAsia="仿宋_GB2312" w:cs="Times New Roman"/>
          <w:sz w:val="32"/>
          <w:szCs w:val="32"/>
        </w:rPr>
      </w:pPr>
      <w:r>
        <w:rPr>
          <w:rFonts w:eastAsia="仿宋_GB2312" w:cs="Times New Roman"/>
          <w:sz w:val="32"/>
          <w:szCs w:val="32"/>
        </w:rPr>
        <w:t>惠州市自然资源局</w:t>
      </w:r>
    </w:p>
    <w:p>
      <w:pPr>
        <w:spacing w:line="560" w:lineRule="exact"/>
        <w:ind w:firstLine="627" w:firstLineChars="196"/>
        <w:jc w:val="right"/>
        <w:rPr>
          <w:rFonts w:eastAsia="仿宋_GB2312" w:cs="Times New Roman"/>
          <w:sz w:val="32"/>
          <w:szCs w:val="32"/>
        </w:rPr>
      </w:pPr>
      <w:r>
        <w:rPr>
          <w:rFonts w:eastAsia="仿宋_GB2312" w:cs="Times New Roman"/>
          <w:sz w:val="32"/>
          <w:szCs w:val="32"/>
        </w:rPr>
        <w:t>惠州市公共资源交易中心</w:t>
      </w:r>
    </w:p>
    <w:p>
      <w:pPr>
        <w:spacing w:line="560" w:lineRule="exact"/>
        <w:ind w:firstLine="627" w:firstLineChars="196"/>
        <w:jc w:val="right"/>
        <w:rPr>
          <w:rFonts w:eastAsia="仿宋_GB2312" w:cs="Times New Roman"/>
          <w:sz w:val="32"/>
          <w:szCs w:val="32"/>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eastAsia="仿宋_GB2312" w:cs="Times New Roman"/>
          <w:sz w:val="32"/>
          <w:szCs w:val="32"/>
        </w:rPr>
        <w:t>202</w:t>
      </w:r>
      <w:r>
        <w:rPr>
          <w:rFonts w:hint="eastAsia" w:eastAsia="仿宋_GB2312" w:cs="Times New Roman"/>
          <w:sz w:val="32"/>
          <w:szCs w:val="32"/>
          <w:lang w:val="en-US" w:eastAsia="zh-CN"/>
        </w:rPr>
        <w:t>1</w:t>
      </w:r>
      <w:r>
        <w:rPr>
          <w:rFonts w:eastAsia="仿宋_GB2312" w:cs="Times New Roman"/>
          <w:sz w:val="32"/>
          <w:szCs w:val="32"/>
        </w:rPr>
        <w:t>年</w:t>
      </w:r>
      <w:r>
        <w:rPr>
          <w:rFonts w:hint="eastAsia" w:eastAsia="仿宋_GB2312" w:cs="Times New Roman"/>
          <w:sz w:val="32"/>
          <w:szCs w:val="32"/>
          <w:lang w:val="en-US" w:eastAsia="zh-CN"/>
        </w:rPr>
        <w:t>12</w:t>
      </w:r>
      <w:r>
        <w:rPr>
          <w:rFonts w:eastAsia="仿宋_GB2312" w:cs="Times New Roman"/>
          <w:sz w:val="32"/>
          <w:szCs w:val="32"/>
        </w:rPr>
        <w:t>月</w:t>
      </w:r>
      <w:r>
        <w:rPr>
          <w:rFonts w:hint="eastAsia" w:eastAsia="仿宋_GB2312" w:cs="Times New Roman"/>
          <w:sz w:val="32"/>
          <w:szCs w:val="32"/>
          <w:lang w:val="en-US" w:eastAsia="zh-CN"/>
        </w:rPr>
        <w:t>31</w:t>
      </w:r>
      <w:r>
        <w:rPr>
          <w:rFonts w:eastAsia="仿宋_GB2312" w:cs="Times New Roman"/>
          <w:sz w:val="32"/>
          <w:szCs w:val="32"/>
        </w:rPr>
        <w:t>日</w:t>
      </w:r>
    </w:p>
    <w:p/>
    <w:p>
      <w:pPr>
        <w:rPr>
          <w:rFonts w:ascii="黑体" w:eastAsia="黑体" w:cs="黑体"/>
        </w:rPr>
      </w:pPr>
      <w:r>
        <w:rPr>
          <w:rFonts w:hint="eastAsia" w:ascii="黑体" w:eastAsia="黑体" w:cs="黑体"/>
        </w:rPr>
        <w:t>附表</w:t>
      </w:r>
    </w:p>
    <w:p>
      <w:pPr>
        <w:rPr>
          <w:rFonts w:ascii="黑体" w:eastAsia="黑体" w:cs="黑体"/>
        </w:rPr>
      </w:pPr>
    </w:p>
    <w:p>
      <w:pPr>
        <w:tabs>
          <w:tab w:val="left" w:pos="9720"/>
        </w:tabs>
        <w:jc w:val="center"/>
        <w:rPr>
          <w:rFonts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7"/>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89"/>
        <w:gridCol w:w="630"/>
        <w:gridCol w:w="585"/>
        <w:gridCol w:w="645"/>
        <w:gridCol w:w="570"/>
        <w:gridCol w:w="765"/>
        <w:gridCol w:w="780"/>
        <w:gridCol w:w="915"/>
        <w:gridCol w:w="705"/>
        <w:gridCol w:w="720"/>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817" w:type="dxa"/>
            <w:vMerge w:val="restart"/>
            <w:vAlign w:val="center"/>
          </w:tcPr>
          <w:p>
            <w:pPr>
              <w:spacing w:line="320" w:lineRule="exact"/>
              <w:jc w:val="center"/>
              <w:rPr>
                <w:rFonts w:eastAsia="仿宋_GB2312" w:cs="Times New Roman"/>
                <w:b/>
                <w:bCs/>
                <w:szCs w:val="21"/>
              </w:rPr>
            </w:pPr>
            <w:r>
              <w:rPr>
                <w:rFonts w:eastAsia="仿宋_GB2312" w:cs="Times New Roman"/>
                <w:b/>
                <w:bCs/>
                <w:szCs w:val="21"/>
              </w:rPr>
              <w:t>挂牌地块编号</w:t>
            </w:r>
          </w:p>
        </w:tc>
        <w:tc>
          <w:tcPr>
            <w:tcW w:w="889" w:type="dxa"/>
            <w:vMerge w:val="restart"/>
            <w:vAlign w:val="center"/>
          </w:tcPr>
          <w:p>
            <w:pPr>
              <w:spacing w:line="320" w:lineRule="exact"/>
              <w:jc w:val="center"/>
              <w:rPr>
                <w:rFonts w:eastAsia="仿宋_GB2312" w:cs="Times New Roman"/>
                <w:b/>
                <w:bCs/>
                <w:szCs w:val="21"/>
              </w:rPr>
            </w:pPr>
            <w:r>
              <w:rPr>
                <w:rFonts w:eastAsia="仿宋_GB2312" w:cs="Times New Roman"/>
                <w:b/>
                <w:bCs/>
                <w:szCs w:val="21"/>
              </w:rPr>
              <w:t>土地</w:t>
            </w:r>
          </w:p>
          <w:p>
            <w:pPr>
              <w:spacing w:line="320" w:lineRule="exact"/>
              <w:jc w:val="center"/>
              <w:rPr>
                <w:rFonts w:eastAsia="仿宋_GB2312" w:cs="Times New Roman"/>
                <w:b/>
                <w:bCs/>
                <w:szCs w:val="21"/>
              </w:rPr>
            </w:pPr>
            <w:r>
              <w:rPr>
                <w:rFonts w:eastAsia="仿宋_GB2312" w:cs="Times New Roman"/>
                <w:b/>
                <w:bCs/>
                <w:szCs w:val="21"/>
              </w:rPr>
              <w:t>位置</w:t>
            </w:r>
          </w:p>
        </w:tc>
        <w:tc>
          <w:tcPr>
            <w:tcW w:w="630" w:type="dxa"/>
            <w:vMerge w:val="restart"/>
            <w:vAlign w:val="center"/>
          </w:tcPr>
          <w:p>
            <w:pPr>
              <w:adjustRightInd w:val="0"/>
              <w:snapToGrid w:val="0"/>
              <w:spacing w:line="320" w:lineRule="exact"/>
              <w:jc w:val="center"/>
              <w:rPr>
                <w:rFonts w:eastAsia="仿宋_GB2312" w:cs="Times New Roman"/>
                <w:b/>
                <w:bCs/>
                <w:szCs w:val="21"/>
              </w:rPr>
            </w:pPr>
            <w:r>
              <w:rPr>
                <w:rFonts w:hint="eastAsia" w:eastAsia="仿宋_GB2312" w:cs="Times New Roman"/>
                <w:b/>
                <w:bCs/>
                <w:szCs w:val="21"/>
              </w:rPr>
              <w:t>用地</w:t>
            </w:r>
            <w:r>
              <w:rPr>
                <w:rFonts w:eastAsia="仿宋_GB2312" w:cs="Times New Roman"/>
                <w:b/>
                <w:bCs/>
                <w:szCs w:val="21"/>
              </w:rPr>
              <w:t>编号</w:t>
            </w:r>
          </w:p>
        </w:tc>
        <w:tc>
          <w:tcPr>
            <w:tcW w:w="585" w:type="dxa"/>
            <w:vMerge w:val="restart"/>
            <w:vAlign w:val="center"/>
          </w:tcPr>
          <w:p>
            <w:pPr>
              <w:adjustRightInd w:val="0"/>
              <w:snapToGrid w:val="0"/>
              <w:spacing w:line="320" w:lineRule="exact"/>
              <w:jc w:val="center"/>
              <w:rPr>
                <w:rFonts w:eastAsia="仿宋_GB2312" w:cs="Times New Roman"/>
                <w:b/>
                <w:bCs/>
                <w:szCs w:val="21"/>
              </w:rPr>
            </w:pPr>
            <w:r>
              <w:rPr>
                <w:rFonts w:eastAsia="仿宋_GB2312" w:cs="Times New Roman"/>
                <w:b/>
                <w:bCs/>
                <w:szCs w:val="21"/>
              </w:rPr>
              <w:t>土地</w:t>
            </w:r>
          </w:p>
          <w:p>
            <w:pPr>
              <w:adjustRightInd w:val="0"/>
              <w:snapToGrid w:val="0"/>
              <w:spacing w:line="320" w:lineRule="exact"/>
              <w:jc w:val="center"/>
              <w:rPr>
                <w:rFonts w:eastAsia="仿宋_GB2312" w:cs="Times New Roman"/>
                <w:b/>
                <w:bCs/>
                <w:szCs w:val="21"/>
              </w:rPr>
            </w:pPr>
            <w:r>
              <w:rPr>
                <w:rFonts w:eastAsia="仿宋_GB2312" w:cs="Times New Roman"/>
                <w:b/>
                <w:bCs/>
                <w:szCs w:val="21"/>
              </w:rPr>
              <w:t>用途</w:t>
            </w:r>
          </w:p>
        </w:tc>
        <w:tc>
          <w:tcPr>
            <w:tcW w:w="645" w:type="dxa"/>
            <w:vMerge w:val="restart"/>
            <w:vAlign w:val="center"/>
          </w:tcPr>
          <w:p>
            <w:pPr>
              <w:adjustRightInd w:val="0"/>
              <w:snapToGrid w:val="0"/>
              <w:spacing w:line="320" w:lineRule="exact"/>
              <w:jc w:val="center"/>
              <w:rPr>
                <w:rFonts w:cs="Times New Roman"/>
                <w:b/>
                <w:bCs/>
                <w:szCs w:val="21"/>
              </w:rPr>
            </w:pPr>
            <w:r>
              <w:rPr>
                <w:rFonts w:hint="eastAsia" w:eastAsia="仿宋_GB2312" w:cs="Times New Roman"/>
                <w:b/>
                <w:bCs/>
                <w:szCs w:val="21"/>
              </w:rPr>
              <w:t>地下室宗地使用权面积（</w:t>
            </w:r>
            <w:r>
              <w:rPr>
                <w:rFonts w:cs="Times New Roman"/>
                <w:b/>
                <w:bCs/>
                <w:szCs w:val="21"/>
              </w:rPr>
              <w:t>㎡</w:t>
            </w:r>
            <w:r>
              <w:rPr>
                <w:rFonts w:hint="eastAsia" w:cs="Times New Roman"/>
                <w:b/>
                <w:bCs/>
                <w:szCs w:val="21"/>
              </w:rPr>
              <w:t>）</w:t>
            </w:r>
          </w:p>
        </w:tc>
        <w:tc>
          <w:tcPr>
            <w:tcW w:w="4455" w:type="dxa"/>
            <w:gridSpan w:val="6"/>
            <w:vAlign w:val="center"/>
          </w:tcPr>
          <w:p>
            <w:pPr>
              <w:adjustRightInd w:val="0"/>
              <w:snapToGrid w:val="0"/>
              <w:spacing w:line="320" w:lineRule="exact"/>
              <w:ind w:left="-27" w:leftChars="-51" w:hanging="80" w:hangingChars="38"/>
              <w:jc w:val="center"/>
              <w:rPr>
                <w:rFonts w:eastAsia="仿宋_GB2312" w:cs="Times New Roman"/>
                <w:b/>
                <w:bCs/>
                <w:szCs w:val="21"/>
              </w:rPr>
            </w:pPr>
            <w:r>
              <w:rPr>
                <w:rFonts w:eastAsia="仿宋_GB2312" w:cs="Times New Roman"/>
                <w:b/>
                <w:bCs/>
                <w:szCs w:val="21"/>
              </w:rPr>
              <w:t>规划指标要求</w:t>
            </w:r>
          </w:p>
        </w:tc>
        <w:tc>
          <w:tcPr>
            <w:tcW w:w="797" w:type="dxa"/>
            <w:tcBorders>
              <w:bottom w:val="nil"/>
            </w:tcBorders>
            <w:vAlign w:val="center"/>
          </w:tcPr>
          <w:p>
            <w:pPr>
              <w:adjustRightInd w:val="0"/>
              <w:snapToGrid w:val="0"/>
              <w:spacing w:line="320" w:lineRule="exact"/>
              <w:ind w:left="-27" w:leftChars="-51" w:hanging="80" w:hangingChars="38"/>
              <w:jc w:val="center"/>
              <w:rPr>
                <w:rFonts w:eastAsia="仿宋_GB2312"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jc w:val="center"/>
        </w:trPr>
        <w:tc>
          <w:tcPr>
            <w:tcW w:w="817" w:type="dxa"/>
            <w:vMerge w:val="continue"/>
            <w:vAlign w:val="center"/>
          </w:tcPr>
          <w:p>
            <w:pPr>
              <w:adjustRightInd w:val="0"/>
              <w:snapToGrid w:val="0"/>
              <w:spacing w:line="320" w:lineRule="exact"/>
              <w:jc w:val="center"/>
              <w:rPr>
                <w:rFonts w:eastAsia="仿宋_GB2312" w:cs="Times New Roman"/>
                <w:b/>
                <w:bCs/>
              </w:rPr>
            </w:pPr>
          </w:p>
        </w:tc>
        <w:tc>
          <w:tcPr>
            <w:tcW w:w="889" w:type="dxa"/>
            <w:vMerge w:val="continue"/>
            <w:vAlign w:val="center"/>
          </w:tcPr>
          <w:p>
            <w:pPr>
              <w:adjustRightInd w:val="0"/>
              <w:snapToGrid w:val="0"/>
              <w:spacing w:line="320" w:lineRule="exact"/>
              <w:jc w:val="center"/>
              <w:rPr>
                <w:rFonts w:eastAsia="仿宋_GB2312" w:cs="Times New Roman"/>
                <w:b/>
                <w:bCs/>
              </w:rPr>
            </w:pPr>
          </w:p>
        </w:tc>
        <w:tc>
          <w:tcPr>
            <w:tcW w:w="630" w:type="dxa"/>
            <w:vMerge w:val="continue"/>
            <w:vAlign w:val="center"/>
          </w:tcPr>
          <w:p>
            <w:pPr>
              <w:adjustRightInd w:val="0"/>
              <w:snapToGrid w:val="0"/>
              <w:spacing w:line="320" w:lineRule="exact"/>
              <w:jc w:val="center"/>
              <w:rPr>
                <w:rFonts w:eastAsia="仿宋_GB2312" w:cs="Times New Roman"/>
                <w:b/>
                <w:bCs/>
              </w:rPr>
            </w:pPr>
          </w:p>
        </w:tc>
        <w:tc>
          <w:tcPr>
            <w:tcW w:w="585" w:type="dxa"/>
            <w:vMerge w:val="continue"/>
            <w:vAlign w:val="center"/>
          </w:tcPr>
          <w:p>
            <w:pPr>
              <w:adjustRightInd w:val="0"/>
              <w:snapToGrid w:val="0"/>
              <w:spacing w:line="320" w:lineRule="exact"/>
              <w:jc w:val="center"/>
              <w:rPr>
                <w:rFonts w:eastAsia="仿宋_GB2312" w:cs="Times New Roman"/>
                <w:b/>
                <w:bCs/>
              </w:rPr>
            </w:pPr>
          </w:p>
        </w:tc>
        <w:tc>
          <w:tcPr>
            <w:tcW w:w="645" w:type="dxa"/>
            <w:vMerge w:val="continue"/>
            <w:vAlign w:val="center"/>
          </w:tcPr>
          <w:p>
            <w:pPr>
              <w:adjustRightInd w:val="0"/>
              <w:snapToGrid w:val="0"/>
              <w:spacing w:line="320" w:lineRule="exact"/>
              <w:jc w:val="center"/>
              <w:rPr>
                <w:rFonts w:eastAsia="仿宋_GB2312" w:cs="Times New Roman"/>
                <w:b/>
                <w:bCs/>
              </w:rPr>
            </w:pPr>
          </w:p>
        </w:tc>
        <w:tc>
          <w:tcPr>
            <w:tcW w:w="570" w:type="dxa"/>
            <w:vAlign w:val="center"/>
          </w:tcPr>
          <w:p>
            <w:pPr>
              <w:spacing w:line="320" w:lineRule="exact"/>
              <w:jc w:val="center"/>
              <w:rPr>
                <w:rFonts w:eastAsia="仿宋_GB2312" w:cs="Times New Roman"/>
                <w:b/>
                <w:bCs/>
              </w:rPr>
            </w:pPr>
            <w:r>
              <w:rPr>
                <w:rFonts w:eastAsia="仿宋_GB2312" w:cs="Times New Roman"/>
                <w:b/>
                <w:bCs/>
              </w:rPr>
              <w:t>建筑密度（%）</w:t>
            </w:r>
          </w:p>
        </w:tc>
        <w:tc>
          <w:tcPr>
            <w:tcW w:w="765" w:type="dxa"/>
            <w:vAlign w:val="center"/>
          </w:tcPr>
          <w:p>
            <w:pPr>
              <w:spacing w:line="320" w:lineRule="exact"/>
              <w:jc w:val="center"/>
              <w:rPr>
                <w:rFonts w:eastAsia="仿宋_GB2312" w:cs="Times New Roman"/>
                <w:b/>
                <w:bCs/>
                <w:szCs w:val="21"/>
              </w:rPr>
            </w:pPr>
            <w:r>
              <w:rPr>
                <w:rFonts w:eastAsia="仿宋_GB2312" w:cs="Times New Roman"/>
                <w:b/>
                <w:bCs/>
                <w:szCs w:val="21"/>
              </w:rPr>
              <w:t>计算指标用地面积（</w:t>
            </w:r>
            <w:r>
              <w:rPr>
                <w:rFonts w:cs="Times New Roman"/>
                <w:b/>
                <w:bCs/>
                <w:szCs w:val="21"/>
              </w:rPr>
              <w:t>㎡</w:t>
            </w:r>
            <w:r>
              <w:rPr>
                <w:rFonts w:eastAsia="仿宋_GB2312" w:cs="Times New Roman"/>
                <w:b/>
                <w:bCs/>
                <w:szCs w:val="21"/>
              </w:rPr>
              <w:t>）</w:t>
            </w:r>
          </w:p>
        </w:tc>
        <w:tc>
          <w:tcPr>
            <w:tcW w:w="780" w:type="dxa"/>
            <w:vAlign w:val="center"/>
          </w:tcPr>
          <w:p>
            <w:pPr>
              <w:spacing w:line="320" w:lineRule="exact"/>
              <w:jc w:val="center"/>
              <w:rPr>
                <w:rFonts w:eastAsia="仿宋_GB2312" w:cs="Times New Roman"/>
                <w:b/>
                <w:bCs/>
                <w:szCs w:val="21"/>
              </w:rPr>
            </w:pPr>
            <w:r>
              <w:rPr>
                <w:rFonts w:eastAsia="仿宋_GB2312" w:cs="Times New Roman"/>
                <w:b/>
                <w:bCs/>
                <w:szCs w:val="21"/>
              </w:rPr>
              <w:t>容积率</w:t>
            </w:r>
          </w:p>
        </w:tc>
        <w:tc>
          <w:tcPr>
            <w:tcW w:w="915" w:type="dxa"/>
            <w:vAlign w:val="center"/>
          </w:tcPr>
          <w:p>
            <w:pPr>
              <w:spacing w:line="320" w:lineRule="exact"/>
              <w:ind w:left="44" w:right="-53" w:rightChars="-25" w:hanging="44" w:hangingChars="21"/>
              <w:jc w:val="center"/>
              <w:rPr>
                <w:rFonts w:eastAsia="仿宋_GB2312" w:cs="Times New Roman"/>
                <w:b/>
                <w:bCs/>
                <w:szCs w:val="21"/>
              </w:rPr>
            </w:pPr>
            <w:r>
              <w:rPr>
                <w:rFonts w:eastAsia="仿宋_GB2312" w:cs="Times New Roman"/>
                <w:b/>
                <w:bCs/>
                <w:szCs w:val="21"/>
              </w:rPr>
              <w:t>计容积率建筑面积（</w:t>
            </w:r>
            <w:r>
              <w:rPr>
                <w:rFonts w:cs="Times New Roman"/>
                <w:b/>
                <w:bCs/>
                <w:szCs w:val="21"/>
              </w:rPr>
              <w:t>㎡</w:t>
            </w:r>
            <w:r>
              <w:rPr>
                <w:rFonts w:eastAsia="仿宋_GB2312" w:cs="Times New Roman"/>
                <w:b/>
                <w:bCs/>
                <w:szCs w:val="21"/>
              </w:rPr>
              <w:t>）</w:t>
            </w:r>
          </w:p>
        </w:tc>
        <w:tc>
          <w:tcPr>
            <w:tcW w:w="705" w:type="dxa"/>
            <w:vAlign w:val="center"/>
          </w:tcPr>
          <w:p>
            <w:pPr>
              <w:spacing w:line="320" w:lineRule="exact"/>
              <w:ind w:left="44" w:right="-53" w:rightChars="-25" w:hanging="44" w:hangingChars="21"/>
              <w:jc w:val="center"/>
              <w:rPr>
                <w:rFonts w:eastAsia="仿宋_GB2312" w:cs="Times New Roman"/>
                <w:b/>
                <w:bCs/>
                <w:szCs w:val="21"/>
              </w:rPr>
            </w:pPr>
            <w:r>
              <w:rPr>
                <w:rFonts w:eastAsia="仿宋_GB2312" w:cs="Times New Roman"/>
                <w:b/>
                <w:bCs/>
                <w:szCs w:val="21"/>
              </w:rPr>
              <w:t>适建性</w:t>
            </w:r>
          </w:p>
        </w:tc>
        <w:tc>
          <w:tcPr>
            <w:tcW w:w="720" w:type="dxa"/>
            <w:vAlign w:val="center"/>
          </w:tcPr>
          <w:p>
            <w:pPr>
              <w:adjustRightInd w:val="0"/>
              <w:snapToGrid w:val="0"/>
              <w:spacing w:line="320" w:lineRule="exact"/>
              <w:ind w:left="-27" w:leftChars="-51" w:hanging="80" w:hangingChars="38"/>
              <w:jc w:val="center"/>
              <w:rPr>
                <w:rFonts w:eastAsia="仿宋_GB2312" w:cs="Times New Roman"/>
                <w:b/>
                <w:bCs/>
              </w:rPr>
            </w:pPr>
            <w:r>
              <w:rPr>
                <w:rFonts w:eastAsia="仿宋_GB2312" w:cs="Times New Roman"/>
                <w:b/>
                <w:bCs/>
              </w:rPr>
              <w:t>机动车停车位（个）</w:t>
            </w:r>
          </w:p>
        </w:tc>
        <w:tc>
          <w:tcPr>
            <w:tcW w:w="797" w:type="dxa"/>
            <w:tcBorders>
              <w:top w:val="nil"/>
            </w:tcBorders>
            <w:vAlign w:val="center"/>
          </w:tcPr>
          <w:p>
            <w:pPr>
              <w:adjustRightInd w:val="0"/>
              <w:snapToGrid w:val="0"/>
              <w:spacing w:line="320" w:lineRule="exact"/>
              <w:ind w:left="-27" w:leftChars="-51" w:hanging="80" w:hangingChars="38"/>
              <w:jc w:val="center"/>
              <w:rPr>
                <w:rFonts w:eastAsia="仿宋_GB2312" w:cs="Times New Roman"/>
                <w:b/>
                <w:bCs/>
                <w:szCs w:val="21"/>
              </w:rPr>
            </w:pPr>
            <w:r>
              <w:rPr>
                <w:rFonts w:eastAsia="仿宋_GB2312" w:cs="Times New Roman"/>
                <w:b/>
                <w:bCs/>
                <w:szCs w:val="21"/>
              </w:rPr>
              <w:t>出让</w:t>
            </w:r>
          </w:p>
          <w:p>
            <w:pPr>
              <w:adjustRightInd w:val="0"/>
              <w:snapToGrid w:val="0"/>
              <w:spacing w:line="320" w:lineRule="exact"/>
              <w:jc w:val="center"/>
              <w:rPr>
                <w:rFonts w:eastAsia="仿宋_GB2312" w:cs="Times New Roman"/>
                <w:b/>
                <w:bCs/>
              </w:rPr>
            </w:pPr>
            <w:r>
              <w:rPr>
                <w:rFonts w:eastAsia="仿宋_GB2312" w:cs="Times New Roman"/>
                <w:b/>
                <w:bCs/>
                <w:szCs w:val="21"/>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7" w:hRule="atLeast"/>
          <w:jc w:val="center"/>
        </w:trPr>
        <w:tc>
          <w:tcPr>
            <w:tcW w:w="817" w:type="dxa"/>
            <w:vMerge w:val="restart"/>
            <w:tcMar>
              <w:left w:w="0" w:type="dxa"/>
              <w:right w:w="0" w:type="dxa"/>
            </w:tcMar>
            <w:vAlign w:val="center"/>
          </w:tcPr>
          <w:p>
            <w:pPr>
              <w:jc w:val="center"/>
              <w:rPr>
                <w:rFonts w:hint="eastAsia" w:eastAsia="仿宋_GB2312" w:cs="Times New Roman"/>
                <w:color w:val="000000"/>
                <w:szCs w:val="21"/>
                <w:lang w:val="en-US" w:eastAsia="zh-CN"/>
              </w:rPr>
            </w:pPr>
            <w:r>
              <w:rPr>
                <w:rFonts w:eastAsia="仿宋_GB2312" w:cs="Times New Roman"/>
                <w:color w:val="000000"/>
                <w:szCs w:val="21"/>
              </w:rPr>
              <w:t>GP202</w:t>
            </w:r>
            <w:r>
              <w:rPr>
                <w:rFonts w:hint="eastAsia" w:eastAsia="仿宋_GB2312" w:cs="Times New Roman"/>
                <w:color w:val="000000"/>
                <w:szCs w:val="21"/>
                <w:lang w:val="en-US" w:eastAsia="zh-CN"/>
              </w:rPr>
              <w:t>2</w:t>
            </w:r>
          </w:p>
          <w:p>
            <w:pPr>
              <w:jc w:val="center"/>
              <w:rPr>
                <w:rFonts w:eastAsia="仿宋_GB2312" w:cs="Times New Roman"/>
                <w:color w:val="000000"/>
                <w:szCs w:val="21"/>
              </w:rPr>
            </w:pPr>
            <w:bookmarkStart w:id="0" w:name="_GoBack"/>
            <w:bookmarkEnd w:id="0"/>
            <w:r>
              <w:rPr>
                <w:rFonts w:eastAsia="仿宋_GB2312" w:cs="Times New Roman"/>
                <w:color w:val="000000"/>
                <w:szCs w:val="21"/>
              </w:rPr>
              <w:t>-</w:t>
            </w:r>
            <w:r>
              <w:rPr>
                <w:rFonts w:hint="eastAsia" w:eastAsia="仿宋_GB2312" w:cs="Times New Roman"/>
                <w:color w:val="000000"/>
                <w:szCs w:val="21"/>
                <w:lang w:val="en-US" w:eastAsia="zh-CN"/>
              </w:rPr>
              <w:t>2</w:t>
            </w:r>
            <w:r>
              <w:rPr>
                <w:rFonts w:eastAsia="仿宋_GB2312" w:cs="Times New Roman"/>
                <w:color w:val="000000"/>
                <w:szCs w:val="21"/>
              </w:rPr>
              <w:t xml:space="preserve">  </w:t>
            </w:r>
          </w:p>
        </w:tc>
        <w:tc>
          <w:tcPr>
            <w:tcW w:w="889" w:type="dxa"/>
            <w:vMerge w:val="restart"/>
            <w:tcMar>
              <w:left w:w="0" w:type="dxa"/>
              <w:right w:w="0" w:type="dxa"/>
            </w:tcMar>
            <w:vAlign w:val="center"/>
          </w:tcPr>
          <w:p>
            <w:pPr>
              <w:jc w:val="center"/>
              <w:rPr>
                <w:rFonts w:eastAsia="仿宋_GB2312" w:cs="Times New Roman"/>
                <w:color w:val="000000"/>
                <w:szCs w:val="21"/>
              </w:rPr>
            </w:pPr>
            <w:r>
              <w:rPr>
                <w:rFonts w:eastAsia="仿宋_GB2312" w:cs="Times New Roman"/>
                <w:color w:val="000000"/>
                <w:szCs w:val="21"/>
              </w:rPr>
              <w:t>惠州市惠城区</w:t>
            </w:r>
            <w:r>
              <w:rPr>
                <w:rFonts w:hint="eastAsia" w:eastAsia="仿宋_GB2312" w:cs="Times New Roman"/>
                <w:color w:val="000000"/>
                <w:szCs w:val="21"/>
              </w:rPr>
              <w:t>东江新城DJXC-32-01-2A</w:t>
            </w:r>
            <w:r>
              <w:rPr>
                <w:rFonts w:eastAsia="仿宋_GB2312" w:cs="Times New Roman"/>
                <w:color w:val="000000"/>
                <w:szCs w:val="21"/>
              </w:rPr>
              <w:t>地块</w:t>
            </w:r>
            <w:r>
              <w:rPr>
                <w:rFonts w:hint="eastAsia" w:eastAsia="仿宋_GB2312" w:cs="Times New Roman"/>
                <w:color w:val="000000"/>
                <w:szCs w:val="21"/>
              </w:rPr>
              <w:t>（地下空间）</w:t>
            </w:r>
          </w:p>
        </w:tc>
        <w:tc>
          <w:tcPr>
            <w:tcW w:w="630" w:type="dxa"/>
            <w:vMerge w:val="restart"/>
            <w:tcMar>
              <w:left w:w="0" w:type="dxa"/>
              <w:right w:w="0" w:type="dxa"/>
            </w:tcMar>
            <w:vAlign w:val="center"/>
          </w:tcPr>
          <w:p>
            <w:pPr>
              <w:jc w:val="center"/>
              <w:rPr>
                <w:rFonts w:eastAsia="仿宋_GB2312" w:cs="Times New Roman"/>
                <w:color w:val="000000"/>
                <w:szCs w:val="21"/>
              </w:rPr>
            </w:pPr>
            <w:r>
              <w:rPr>
                <w:rFonts w:hint="eastAsia" w:eastAsia="仿宋_GB2312" w:cs="Times New Roman"/>
                <w:color w:val="000000"/>
                <w:szCs w:val="21"/>
              </w:rPr>
              <w:t>DJXC-32-01-2A</w:t>
            </w:r>
          </w:p>
        </w:tc>
        <w:tc>
          <w:tcPr>
            <w:tcW w:w="585" w:type="dxa"/>
            <w:vMerge w:val="restart"/>
            <w:tcMar>
              <w:left w:w="0" w:type="dxa"/>
              <w:right w:w="0" w:type="dxa"/>
            </w:tcMar>
            <w:vAlign w:val="center"/>
          </w:tcPr>
          <w:p>
            <w:pPr>
              <w:jc w:val="center"/>
              <w:rPr>
                <w:rFonts w:eastAsia="仿宋_GB2312" w:cs="Times New Roman"/>
                <w:color w:val="000000"/>
                <w:szCs w:val="21"/>
              </w:rPr>
            </w:pPr>
            <w:r>
              <w:rPr>
                <w:rFonts w:eastAsia="仿宋_GB2312" w:cs="Times New Roman"/>
                <w:color w:val="000000"/>
                <w:szCs w:val="21"/>
              </w:rPr>
              <w:t>交通服务场站用地</w:t>
            </w:r>
          </w:p>
        </w:tc>
        <w:tc>
          <w:tcPr>
            <w:tcW w:w="645" w:type="dxa"/>
            <w:vMerge w:val="restart"/>
            <w:tcMar>
              <w:left w:w="0" w:type="dxa"/>
              <w:right w:w="0" w:type="dxa"/>
            </w:tcMar>
            <w:vAlign w:val="center"/>
          </w:tcPr>
          <w:p>
            <w:pPr>
              <w:jc w:val="center"/>
              <w:rPr>
                <w:rFonts w:eastAsia="仿宋_GB2312" w:cs="Times New Roman"/>
                <w:color w:val="000000"/>
                <w:szCs w:val="21"/>
              </w:rPr>
            </w:pPr>
            <w:r>
              <w:rPr>
                <w:rFonts w:hint="eastAsia" w:eastAsia="仿宋_GB2312" w:cs="Times New Roman"/>
                <w:color w:val="000000"/>
                <w:szCs w:val="21"/>
              </w:rPr>
              <w:t>11323.63</w:t>
            </w:r>
          </w:p>
        </w:tc>
        <w:tc>
          <w:tcPr>
            <w:tcW w:w="570" w:type="dxa"/>
            <w:vMerge w:val="restart"/>
            <w:vAlign w:val="center"/>
          </w:tcPr>
          <w:p>
            <w:pPr>
              <w:jc w:val="center"/>
              <w:rPr>
                <w:rFonts w:eastAsia="仿宋_GB2312" w:cs="Times New Roman"/>
                <w:color w:val="000000"/>
                <w:szCs w:val="21"/>
              </w:rPr>
            </w:pPr>
            <w:r>
              <w:rPr>
                <w:rFonts w:hint="eastAsia" w:ascii="仿宋_GB2312" w:hAnsi="仿宋_GB2312" w:eastAsia="仿宋_GB2312" w:cs="仿宋_GB2312"/>
                <w:color w:val="000000"/>
                <w:szCs w:val="21"/>
              </w:rPr>
              <w:t>≤</w:t>
            </w:r>
            <w:r>
              <w:rPr>
                <w:rFonts w:eastAsia="仿宋_GB2312" w:cs="Times New Roman"/>
                <w:color w:val="000000"/>
                <w:szCs w:val="21"/>
              </w:rPr>
              <w:t>5</w:t>
            </w:r>
          </w:p>
        </w:tc>
        <w:tc>
          <w:tcPr>
            <w:tcW w:w="765" w:type="dxa"/>
            <w:vMerge w:val="restart"/>
            <w:vAlign w:val="center"/>
          </w:tcPr>
          <w:p>
            <w:pPr>
              <w:jc w:val="center"/>
              <w:rPr>
                <w:rFonts w:eastAsia="仿宋_GB2312" w:cs="Times New Roman"/>
                <w:color w:val="000000"/>
                <w:szCs w:val="21"/>
              </w:rPr>
            </w:pPr>
            <w:r>
              <w:rPr>
                <w:rFonts w:hint="eastAsia" w:eastAsia="仿宋_GB2312" w:cs="Times New Roman"/>
                <w:color w:val="000000"/>
                <w:szCs w:val="21"/>
              </w:rPr>
              <w:t>13806</w:t>
            </w:r>
          </w:p>
        </w:tc>
        <w:tc>
          <w:tcPr>
            <w:tcW w:w="780" w:type="dxa"/>
            <w:vMerge w:val="restart"/>
            <w:vAlign w:val="center"/>
          </w:tcPr>
          <w:p>
            <w:pPr>
              <w:jc w:val="center"/>
              <w:rPr>
                <w:rFonts w:eastAsia="仿宋_GB2312" w:cs="Times New Roman"/>
                <w:color w:val="000000"/>
                <w:szCs w:val="21"/>
              </w:rPr>
            </w:pPr>
            <w:r>
              <w:rPr>
                <w:rFonts w:hint="eastAsia" w:ascii="仿宋_GB2312" w:hAnsi="仿宋_GB2312" w:eastAsia="仿宋_GB2312" w:cs="仿宋_GB2312"/>
                <w:color w:val="000000"/>
                <w:szCs w:val="21"/>
              </w:rPr>
              <w:t>≤</w:t>
            </w:r>
            <w:r>
              <w:rPr>
                <w:rFonts w:eastAsia="仿宋_GB2312" w:cs="Times New Roman"/>
                <w:color w:val="000000"/>
                <w:szCs w:val="21"/>
              </w:rPr>
              <w:t>0.08</w:t>
            </w:r>
          </w:p>
        </w:tc>
        <w:tc>
          <w:tcPr>
            <w:tcW w:w="915" w:type="dxa"/>
            <w:vMerge w:val="restart"/>
            <w:vAlign w:val="center"/>
          </w:tcPr>
          <w:p>
            <w:pPr>
              <w:jc w:val="center"/>
              <w:rPr>
                <w:rFonts w:eastAsia="仿宋_GB2312" w:cs="Times New Roman"/>
                <w:color w:val="000000"/>
                <w:szCs w:val="21"/>
              </w:rPr>
            </w:pPr>
            <w:r>
              <w:rPr>
                <w:rFonts w:hint="eastAsia" w:ascii="仿宋_GB2312" w:hAnsi="仿宋_GB2312" w:eastAsia="仿宋_GB2312" w:cs="仿宋_GB2312"/>
                <w:color w:val="000000"/>
                <w:szCs w:val="21"/>
              </w:rPr>
              <w:t>≤</w:t>
            </w:r>
            <w:r>
              <w:rPr>
                <w:rFonts w:hint="eastAsia" w:eastAsia="仿宋_GB2312" w:cs="Times New Roman"/>
                <w:color w:val="000000"/>
                <w:szCs w:val="21"/>
              </w:rPr>
              <w:t>1104</w:t>
            </w:r>
          </w:p>
        </w:tc>
        <w:tc>
          <w:tcPr>
            <w:tcW w:w="705" w:type="dxa"/>
            <w:vMerge w:val="restart"/>
            <w:vAlign w:val="center"/>
          </w:tcPr>
          <w:p>
            <w:pPr>
              <w:jc w:val="center"/>
              <w:rPr>
                <w:rFonts w:eastAsia="仿宋_GB2312" w:cs="Times New Roman"/>
                <w:color w:val="000000"/>
                <w:szCs w:val="21"/>
              </w:rPr>
            </w:pPr>
            <w:r>
              <w:rPr>
                <w:rFonts w:eastAsia="仿宋_GB2312" w:cs="Times New Roman"/>
                <w:color w:val="000000"/>
                <w:szCs w:val="21"/>
              </w:rPr>
              <w:t>地面运动场、</w:t>
            </w:r>
          </w:p>
          <w:p>
            <w:pPr>
              <w:jc w:val="center"/>
              <w:rPr>
                <w:rFonts w:eastAsia="仿宋_GB2312" w:cs="Times New Roman"/>
                <w:color w:val="000000"/>
                <w:szCs w:val="21"/>
              </w:rPr>
            </w:pPr>
            <w:r>
              <w:rPr>
                <w:rFonts w:eastAsia="仿宋_GB2312" w:cs="Times New Roman"/>
                <w:color w:val="000000"/>
                <w:szCs w:val="21"/>
              </w:rPr>
              <w:t>地下自走式停车库</w:t>
            </w:r>
          </w:p>
          <w:p>
            <w:pPr>
              <w:jc w:val="center"/>
              <w:rPr>
                <w:rFonts w:eastAsia="仿宋_GB2312" w:cs="Times New Roman"/>
                <w:color w:val="000000"/>
                <w:szCs w:val="21"/>
              </w:rPr>
            </w:pPr>
            <w:r>
              <w:rPr>
                <w:rFonts w:eastAsia="仿宋_GB2312" w:cs="Times New Roman"/>
                <w:color w:val="000000"/>
                <w:szCs w:val="21"/>
              </w:rPr>
              <w:t>及配套设施</w:t>
            </w:r>
          </w:p>
        </w:tc>
        <w:tc>
          <w:tcPr>
            <w:tcW w:w="720" w:type="dxa"/>
            <w:vMerge w:val="restart"/>
            <w:vAlign w:val="center"/>
          </w:tcPr>
          <w:p>
            <w:pPr>
              <w:jc w:val="center"/>
              <w:rPr>
                <w:rFonts w:eastAsia="仿宋_GB2312" w:cs="Times New Roman"/>
                <w:color w:val="000000"/>
                <w:szCs w:val="21"/>
              </w:rPr>
            </w:pPr>
            <w:r>
              <w:rPr>
                <w:rFonts w:eastAsia="仿宋_GB2312" w:cs="Times New Roman"/>
                <w:color w:val="000000"/>
                <w:szCs w:val="21"/>
              </w:rPr>
              <w:t>地下公共停车位</w:t>
            </w:r>
            <w:r>
              <w:rPr>
                <w:rFonts w:hint="eastAsia" w:ascii="仿宋_GB2312" w:hAnsi="仿宋_GB2312" w:eastAsia="仿宋_GB2312" w:cs="仿宋_GB2312"/>
                <w:color w:val="000000"/>
                <w:szCs w:val="21"/>
              </w:rPr>
              <w:t>≥</w:t>
            </w:r>
            <w:r>
              <w:rPr>
                <w:rFonts w:hint="eastAsia" w:eastAsia="仿宋_GB2312" w:cs="Times New Roman"/>
                <w:color w:val="000000"/>
                <w:szCs w:val="21"/>
              </w:rPr>
              <w:t>390</w:t>
            </w:r>
          </w:p>
        </w:tc>
        <w:tc>
          <w:tcPr>
            <w:tcW w:w="797" w:type="dxa"/>
            <w:vMerge w:val="restart"/>
            <w:vAlign w:val="center"/>
          </w:tcPr>
          <w:p>
            <w:pPr>
              <w:jc w:val="center"/>
              <w:rPr>
                <w:rFonts w:eastAsia="仿宋_GB2312" w:cs="Times New Roman"/>
                <w:color w:val="000000"/>
                <w:szCs w:val="21"/>
              </w:rPr>
            </w:pPr>
            <w:r>
              <w:rPr>
                <w:rFonts w:eastAsia="仿宋_GB2312" w:cs="Times New Roman"/>
                <w:color w:val="000000"/>
                <w:szCs w:val="21"/>
              </w:rPr>
              <w:t>交通服务场站用地50</w:t>
            </w:r>
            <w:r>
              <w:rPr>
                <w:rFonts w:hint="eastAsia" w:eastAsia="仿宋_GB2312" w:cs="Times New Roman"/>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5" w:hRule="atLeast"/>
          <w:jc w:val="center"/>
        </w:trPr>
        <w:tc>
          <w:tcPr>
            <w:tcW w:w="817" w:type="dxa"/>
            <w:vMerge w:val="continue"/>
            <w:tcMar>
              <w:left w:w="0" w:type="dxa"/>
              <w:right w:w="0" w:type="dxa"/>
            </w:tcMar>
            <w:vAlign w:val="center"/>
          </w:tcPr>
          <w:p>
            <w:pPr>
              <w:jc w:val="center"/>
              <w:rPr>
                <w:rFonts w:eastAsia="仿宋_GB2312" w:cs="Times New Roman"/>
                <w:color w:val="000000"/>
                <w:szCs w:val="21"/>
              </w:rPr>
            </w:pPr>
          </w:p>
        </w:tc>
        <w:tc>
          <w:tcPr>
            <w:tcW w:w="889" w:type="dxa"/>
            <w:vMerge w:val="continue"/>
            <w:tcMar>
              <w:left w:w="0" w:type="dxa"/>
              <w:right w:w="0" w:type="dxa"/>
            </w:tcMar>
            <w:vAlign w:val="center"/>
          </w:tcPr>
          <w:p>
            <w:pPr>
              <w:jc w:val="center"/>
              <w:rPr>
                <w:rFonts w:eastAsia="仿宋_GB2312" w:cs="Times New Roman"/>
                <w:color w:val="000000"/>
                <w:szCs w:val="21"/>
              </w:rPr>
            </w:pPr>
          </w:p>
        </w:tc>
        <w:tc>
          <w:tcPr>
            <w:tcW w:w="630" w:type="dxa"/>
            <w:vMerge w:val="continue"/>
            <w:tcMar>
              <w:left w:w="0" w:type="dxa"/>
              <w:right w:w="0" w:type="dxa"/>
            </w:tcMar>
            <w:vAlign w:val="center"/>
          </w:tcPr>
          <w:p>
            <w:pPr>
              <w:jc w:val="center"/>
              <w:rPr>
                <w:rFonts w:eastAsia="仿宋_GB2312" w:cs="Times New Roman"/>
                <w:color w:val="000000"/>
                <w:szCs w:val="21"/>
              </w:rPr>
            </w:pPr>
          </w:p>
        </w:tc>
        <w:tc>
          <w:tcPr>
            <w:tcW w:w="585" w:type="dxa"/>
            <w:vMerge w:val="continue"/>
            <w:tcMar>
              <w:left w:w="0" w:type="dxa"/>
              <w:right w:w="0" w:type="dxa"/>
            </w:tcMar>
            <w:vAlign w:val="center"/>
          </w:tcPr>
          <w:p>
            <w:pPr>
              <w:jc w:val="center"/>
              <w:rPr>
                <w:rFonts w:eastAsia="仿宋_GB2312" w:cs="Times New Roman"/>
                <w:color w:val="000000"/>
                <w:szCs w:val="21"/>
              </w:rPr>
            </w:pPr>
          </w:p>
        </w:tc>
        <w:tc>
          <w:tcPr>
            <w:tcW w:w="645" w:type="dxa"/>
            <w:vMerge w:val="continue"/>
            <w:tcMar>
              <w:left w:w="0" w:type="dxa"/>
              <w:right w:w="0" w:type="dxa"/>
            </w:tcMar>
            <w:vAlign w:val="center"/>
          </w:tcPr>
          <w:p>
            <w:pPr>
              <w:jc w:val="center"/>
              <w:rPr>
                <w:rFonts w:eastAsia="仿宋_GB2312" w:cs="Times New Roman"/>
                <w:color w:val="000000"/>
                <w:szCs w:val="21"/>
              </w:rPr>
            </w:pPr>
          </w:p>
        </w:tc>
        <w:tc>
          <w:tcPr>
            <w:tcW w:w="570" w:type="dxa"/>
            <w:vMerge w:val="continue"/>
            <w:vAlign w:val="center"/>
          </w:tcPr>
          <w:p>
            <w:pPr>
              <w:jc w:val="center"/>
              <w:rPr>
                <w:rFonts w:eastAsia="仿宋_GB2312" w:cs="Times New Roman"/>
                <w:color w:val="000000"/>
                <w:szCs w:val="21"/>
              </w:rPr>
            </w:pPr>
          </w:p>
        </w:tc>
        <w:tc>
          <w:tcPr>
            <w:tcW w:w="765" w:type="dxa"/>
            <w:vMerge w:val="continue"/>
            <w:vAlign w:val="center"/>
          </w:tcPr>
          <w:p>
            <w:pPr>
              <w:jc w:val="center"/>
              <w:rPr>
                <w:rFonts w:eastAsia="仿宋_GB2312" w:cs="Times New Roman"/>
                <w:color w:val="000000"/>
                <w:szCs w:val="21"/>
              </w:rPr>
            </w:pPr>
          </w:p>
        </w:tc>
        <w:tc>
          <w:tcPr>
            <w:tcW w:w="780" w:type="dxa"/>
            <w:vMerge w:val="continue"/>
            <w:vAlign w:val="center"/>
          </w:tcPr>
          <w:p>
            <w:pPr>
              <w:jc w:val="center"/>
              <w:rPr>
                <w:rFonts w:eastAsia="仿宋_GB2312" w:cs="Times New Roman"/>
                <w:color w:val="000000"/>
                <w:szCs w:val="21"/>
              </w:rPr>
            </w:pPr>
          </w:p>
        </w:tc>
        <w:tc>
          <w:tcPr>
            <w:tcW w:w="915" w:type="dxa"/>
            <w:vMerge w:val="continue"/>
            <w:vAlign w:val="center"/>
          </w:tcPr>
          <w:p>
            <w:pPr>
              <w:jc w:val="center"/>
              <w:rPr>
                <w:rFonts w:eastAsia="仿宋_GB2312" w:cs="Times New Roman"/>
                <w:color w:val="000000"/>
                <w:szCs w:val="21"/>
              </w:rPr>
            </w:pPr>
          </w:p>
        </w:tc>
        <w:tc>
          <w:tcPr>
            <w:tcW w:w="705" w:type="dxa"/>
            <w:vMerge w:val="continue"/>
            <w:vAlign w:val="center"/>
          </w:tcPr>
          <w:p>
            <w:pPr>
              <w:jc w:val="center"/>
              <w:rPr>
                <w:rFonts w:eastAsia="仿宋_GB2312" w:cs="Times New Roman"/>
                <w:color w:val="000000"/>
                <w:szCs w:val="21"/>
              </w:rPr>
            </w:pPr>
          </w:p>
        </w:tc>
        <w:tc>
          <w:tcPr>
            <w:tcW w:w="720" w:type="dxa"/>
            <w:vMerge w:val="continue"/>
            <w:vAlign w:val="center"/>
          </w:tcPr>
          <w:p>
            <w:pPr>
              <w:jc w:val="center"/>
              <w:rPr>
                <w:rFonts w:eastAsia="仿宋_GB2312" w:cs="Times New Roman"/>
                <w:color w:val="000000"/>
                <w:szCs w:val="21"/>
              </w:rPr>
            </w:pPr>
          </w:p>
        </w:tc>
        <w:tc>
          <w:tcPr>
            <w:tcW w:w="797" w:type="dxa"/>
            <w:vMerge w:val="continue"/>
            <w:vAlign w:val="center"/>
          </w:tcPr>
          <w:p>
            <w:pPr>
              <w:jc w:val="center"/>
              <w:rPr>
                <w:rFonts w:eastAsia="仿宋_GB2312" w:cs="Times New Roman"/>
                <w:color w:val="000000"/>
                <w:szCs w:val="21"/>
              </w:rPr>
            </w:pPr>
          </w:p>
        </w:tc>
      </w:tr>
    </w:tbl>
    <w:p>
      <w:pPr>
        <w:tabs>
          <w:tab w:val="left" w:pos="11340"/>
        </w:tabs>
        <w:spacing w:line="600" w:lineRule="exact"/>
        <w:rPr>
          <w:rFonts w:ascii="仿宋_GB2312" w:eastAsia="仿宋_GB2312"/>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 6" o:spid="_x0000_s1026" o:spt="202" type="#_x0000_t202" style="position:absolute;left:0pt;margin-top:0pt;height:10.35pt;width:14.95pt;mso-position-horizontal:outside;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4pUEv0AAA&#10;AAMBAAAPAAAAAAAAAAEAIAAAACIAAABkcnMvZG93bnJldi54bWxQSwECFAAUAAAACACHTuJAUU02&#10;F7QBAABKAwAADgAAAAAAAAABACAAAAAfAQAAZHJzL2Uyb0RvYy54bWxQSwUGAAAAAAYABgBZAQAA&#10;RQUAAAAA&#10;">
          <v:path/>
          <v:fill on="f" focussize="0,0"/>
          <v:stroke on="f" joinstyle="miter"/>
          <v:imagedata o:title=""/>
          <o:lock v:ext="edit"/>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- 6 -</w:t>
                </w:r>
                <w:r>
                  <w:fldChar w:fldCharType="end"/>
                </w:r>
              </w:p>
            </w:txbxContent>
          </v:textbox>
          <w10:wrap type="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 5" o:spid="_x0000_s1025" o:spt="202" type="#_x0000_t202" style="position:absolute;left:0pt;margin-top:0pt;height:10.35pt;width:4.45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oOqH0AAA&#10;AAIBAAAPAAAAAAAAAAEAIAAAACIAAABkcnMvZG93bnJldi54bWxQSwECFAAUAAAACACHTuJAwnMu&#10;XbQBAABJAwAADgAAAAAAAAABACAAAAAfAQAAZHJzL2Uyb0RvYy54bWxQSwUGAAAAAAYABgBZAQAA&#10;RQUAAAAA&#10;">
          <v:path/>
          <v:fill on="f" focussize="0,0"/>
          <v:stroke on="f" joinstyle="miter"/>
          <v:imagedata o:title=""/>
          <o:lock v:ext="edit"/>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1</w:t>
                </w:r>
                <w:r>
                  <w:fldChar w:fldCharType="end"/>
                </w:r>
              </w:p>
            </w:txbxContent>
          </v:textbox>
          <w10:wrap type="squar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21DA8"/>
    <w:rsid w:val="001D1716"/>
    <w:rsid w:val="00721DA8"/>
    <w:rsid w:val="00793EB0"/>
    <w:rsid w:val="00D52863"/>
    <w:rsid w:val="00D948AA"/>
    <w:rsid w:val="19057C05"/>
    <w:rsid w:val="1CEC2585"/>
    <w:rsid w:val="2A4D03CA"/>
    <w:rsid w:val="45237841"/>
    <w:rsid w:val="67285814"/>
    <w:rsid w:val="70393CC2"/>
    <w:rsid w:val="76681953"/>
    <w:rsid w:val="7EFC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paragraph" w:customStyle="1" w:styleId="10">
    <w:name w:val="公文标题"/>
    <w:next w:val="1"/>
    <w:qFormat/>
    <w:uiPriority w:val="0"/>
    <w:pPr>
      <w:spacing w:line="700" w:lineRule="exact"/>
      <w:jc w:val="center"/>
    </w:pPr>
    <w:rPr>
      <w:rFonts w:ascii="Calibri" w:hAnsi="Calibri" w:eastAsia="方正小标宋_GBK" w:cs="Times New Roman"/>
      <w:kern w:val="0"/>
      <w:sz w:val="4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478</Words>
  <Characters>2727</Characters>
  <Lines>22</Lines>
  <Paragraphs>6</Paragraphs>
  <TotalTime>50</TotalTime>
  <ScaleCrop>false</ScaleCrop>
  <LinksUpToDate>false</LinksUpToDate>
  <CharactersWithSpaces>3199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2021-12-31T07:24:00Z</dcterms:created>
  <dc:creator>个人用户</dc:creator>
  <cp:lastModifiedBy>叶舒</cp:lastModifiedBy>
  <dcterms:modified xsi:type="dcterms:W3CDTF">2021-12-31T10:29:16Z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