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022</w:t>
      </w:r>
      <w:r>
        <w:rPr>
          <w:rFonts w:hint="eastAsia" w:ascii="仿宋_GB2312" w:eastAsia="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挂牌起始价为人民币</w:t>
      </w:r>
      <w:r>
        <w:rPr>
          <w:rFonts w:hint="eastAsia" w:ascii="仿宋_GB2312" w:hAnsi="仿宋" w:eastAsia="仿宋_GB2312"/>
          <w:sz w:val="32"/>
          <w:szCs w:val="32"/>
          <w:lang w:val="en-US" w:eastAsia="zh-CN"/>
        </w:rPr>
        <w:t>1170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351</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17095</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报总平面图的主要技术经济指标：规划布局2栋厂房、1栋宿舍，建筑层数地上最高9层，地下1层，计算指标用地面积11501平方米，计容积率建筑面积31211.94平方米（宿舍占比11%），容积率2.71，总基底面积4101.68平方米（宿舍占比4%），建筑密度35.7%，停车位117个（地上64个，地下53个），绿地率15%，非机动车停车位157个，申请人防易地建设面积115.5平方米。所报方案符合《建设用地规划设计条件》（PB20210022）要求。须按程序进行公示，公示期间未收到公众投诉意见则同意所报总平面图及单体建筑设计方案。建设单位须同步做好管线综合设计报审，排水设计方案须征求排水主管部门意见，停车场须按不低于总停车位的10%的比例配置充电设施，配套设施须按不低于35平方米建设5G通信基站，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13846元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20000</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1300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rPr>
        <w:t>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同意，并符合惠城区产业发展方向及项目入区审核标准。本宗地交付乙方后,乙方须向惠城区</w:t>
      </w:r>
      <w:r>
        <w:rPr>
          <w:rFonts w:hint="eastAsia" w:ascii="仿宋_GB2312" w:hAnsi="宋体" w:eastAsia="仿宋_GB2312" w:cs="宋体"/>
          <w:color w:val="auto"/>
          <w:kern w:val="0"/>
          <w:sz w:val="32"/>
          <w:szCs w:val="32"/>
          <w:lang w:val="en-US" w:eastAsia="zh-CN"/>
        </w:rPr>
        <w:t>龙丰街道办事处</w:t>
      </w:r>
      <w:r>
        <w:rPr>
          <w:rFonts w:hint="eastAsia" w:ascii="仿宋_GB2312" w:hAnsi="宋体" w:eastAsia="仿宋_GB2312" w:cs="宋体"/>
          <w:color w:val="auto"/>
          <w:kern w:val="0"/>
          <w:sz w:val="32"/>
          <w:szCs w:val="32"/>
        </w:rPr>
        <w:t>提交项目投资计划书和时间安排表，并按月向惠城区</w:t>
      </w:r>
      <w:r>
        <w:rPr>
          <w:rFonts w:hint="eastAsia" w:ascii="仿宋_GB2312" w:hAnsi="宋体" w:eastAsia="仿宋_GB2312" w:cs="宋体"/>
          <w:color w:val="auto"/>
          <w:kern w:val="0"/>
          <w:sz w:val="32"/>
          <w:szCs w:val="32"/>
          <w:lang w:val="en-US" w:eastAsia="zh-CN"/>
        </w:rPr>
        <w:t>龙丰街道办事处</w:t>
      </w:r>
      <w:r>
        <w:rPr>
          <w:rFonts w:hint="eastAsia" w:ascii="仿宋_GB2312" w:hAnsi="宋体" w:eastAsia="仿宋_GB2312" w:cs="宋体"/>
          <w:color w:val="auto"/>
          <w:kern w:val="0"/>
          <w:sz w:val="32"/>
          <w:szCs w:val="32"/>
        </w:rPr>
        <w:t>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竞得人需与</w:t>
      </w:r>
      <w:r>
        <w:rPr>
          <w:rFonts w:hint="eastAsia" w:ascii="仿宋_GB2312" w:hAnsi="宋体" w:eastAsia="仿宋_GB2312" w:cs="宋体"/>
          <w:color w:val="auto"/>
          <w:kern w:val="0"/>
          <w:sz w:val="32"/>
          <w:szCs w:val="32"/>
          <w:lang w:val="en-US" w:eastAsia="zh-CN"/>
        </w:rPr>
        <w:t>惠州市</w:t>
      </w:r>
      <w:r>
        <w:rPr>
          <w:rFonts w:hint="eastAsia" w:ascii="仿宋_GB2312" w:hAnsi="宋体" w:eastAsia="仿宋_GB2312" w:cs="宋体"/>
          <w:color w:val="auto"/>
          <w:kern w:val="0"/>
          <w:sz w:val="32"/>
          <w:szCs w:val="32"/>
        </w:rPr>
        <w:t>惠城区</w:t>
      </w:r>
      <w:r>
        <w:rPr>
          <w:rFonts w:hint="eastAsia" w:ascii="仿宋_GB2312" w:hAnsi="宋体" w:eastAsia="仿宋_GB2312" w:cs="宋体"/>
          <w:color w:val="auto"/>
          <w:kern w:val="0"/>
          <w:sz w:val="32"/>
          <w:szCs w:val="32"/>
          <w:lang w:val="en-US" w:eastAsia="zh-CN"/>
        </w:rPr>
        <w:t>龙丰街道办事处</w:t>
      </w:r>
      <w:r>
        <w:rPr>
          <w:rFonts w:hint="eastAsia" w:ascii="仿宋_GB2312" w:hAnsi="宋体" w:eastAsia="仿宋_GB2312" w:cs="宋体"/>
          <w:color w:val="auto"/>
          <w:kern w:val="0"/>
          <w:sz w:val="32"/>
          <w:szCs w:val="32"/>
        </w:rPr>
        <w:t>签订《惠城区工业项目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w:t>
      </w:r>
      <w:r>
        <w:rPr>
          <w:rFonts w:hint="eastAsia" w:ascii="仿宋_GB2312" w:hAnsi="宋体" w:eastAsia="仿宋_GB2312" w:cs="宋体"/>
          <w:color w:val="000000"/>
          <w:kern w:val="0"/>
          <w:sz w:val="32"/>
          <w:szCs w:val="32"/>
        </w:rPr>
        <w:t>并完成监管协议公证手续</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w:t>
      </w:r>
      <w:r>
        <w:rPr>
          <w:rFonts w:hint="eastAsia" w:ascii="仿宋_GB2312" w:hAnsi="宋体" w:eastAsia="仿宋_GB2312" w:cs="宋体"/>
          <w:color w:val="auto"/>
          <w:kern w:val="0"/>
          <w:sz w:val="32"/>
          <w:szCs w:val="32"/>
        </w:rPr>
        <w:t>惠城区</w:t>
      </w:r>
      <w:r>
        <w:rPr>
          <w:rFonts w:hint="eastAsia" w:ascii="仿宋_GB2312" w:hAnsi="宋体" w:eastAsia="仿宋_GB2312" w:cs="宋体"/>
          <w:color w:val="auto"/>
          <w:kern w:val="0"/>
          <w:sz w:val="32"/>
          <w:szCs w:val="32"/>
          <w:lang w:val="en-US" w:eastAsia="zh-CN"/>
        </w:rPr>
        <w:t>龙丰街道办事处</w:t>
      </w:r>
      <w:r>
        <w:rPr>
          <w:rFonts w:hint="eastAsia" w:ascii="仿宋_GB2312" w:hAnsi="仿宋_GB2312" w:eastAsia="仿宋_GB2312" w:cs="仿宋_GB2312"/>
          <w:color w:val="auto"/>
          <w:sz w:val="32"/>
          <w:szCs w:val="32"/>
        </w:rPr>
        <w:t>签订《惠城区工业项目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监管协议书》，并由</w:t>
      </w:r>
      <w:r>
        <w:rPr>
          <w:rFonts w:hint="eastAsia" w:ascii="仿宋_GB2312" w:hAnsi="仿宋_GB2312" w:eastAsia="仿宋_GB2312" w:cs="仿宋_GB2312"/>
          <w:color w:val="auto"/>
          <w:sz w:val="32"/>
          <w:szCs w:val="32"/>
          <w:lang w:val="en-US" w:eastAsia="zh-CN"/>
        </w:rPr>
        <w:t>惠州市</w:t>
      </w:r>
      <w:r>
        <w:rPr>
          <w:rFonts w:hint="eastAsia" w:ascii="仿宋_GB2312" w:hAnsi="宋体" w:eastAsia="仿宋_GB2312" w:cs="宋体"/>
          <w:color w:val="auto"/>
          <w:kern w:val="0"/>
          <w:sz w:val="32"/>
          <w:szCs w:val="32"/>
        </w:rPr>
        <w:t>惠城区</w:t>
      </w:r>
      <w:r>
        <w:rPr>
          <w:rFonts w:hint="eastAsia" w:ascii="仿宋_GB2312" w:hAnsi="宋体" w:eastAsia="仿宋_GB2312" w:cs="宋体"/>
          <w:color w:val="auto"/>
          <w:kern w:val="0"/>
          <w:sz w:val="32"/>
          <w:szCs w:val="32"/>
          <w:lang w:val="en-US" w:eastAsia="zh-CN"/>
        </w:rPr>
        <w:t>龙丰街道办事处</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w:t>
      </w:r>
      <w:r>
        <w:rPr>
          <w:rFonts w:hint="eastAsia" w:ascii="仿宋_GB2312" w:hAnsi="仿宋_GB2312" w:eastAsia="仿宋_GB2312" w:cs="仿宋_GB2312"/>
          <w:color w:val="auto"/>
          <w:sz w:val="32"/>
          <w:szCs w:val="32"/>
          <w:lang w:val="en-US" w:eastAsia="zh-CN"/>
        </w:rPr>
        <w:t>起始价中</w:t>
      </w:r>
      <w:r>
        <w:rPr>
          <w:rFonts w:hint="eastAsia" w:ascii="仿宋_GB2312" w:hAnsi="仿宋_GB2312" w:eastAsia="仿宋_GB2312" w:cs="仿宋_GB2312"/>
          <w:color w:val="auto"/>
          <w:sz w:val="32"/>
          <w:szCs w:val="32"/>
        </w:rPr>
        <w:t>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2021年8月3日</w:t>
      </w:r>
    </w:p>
    <w:p>
      <w:pPr>
        <w:keepNext w:val="0"/>
        <w:keepLines w:val="0"/>
        <w:pageBreakBefore w:val="0"/>
        <w:widowControl w:val="0"/>
        <w:kinsoku/>
        <w:wordWrap/>
        <w:overflowPunct/>
        <w:topLinePunct w:val="0"/>
        <w:bidi w:val="0"/>
        <w:spacing w:line="560" w:lineRule="exact"/>
        <w:textAlignment w:val="auto"/>
        <w:rPr>
          <w:rFonts w:hint="eastAsia" w:ascii="黑体" w:hAnsi="黑体" w:eastAsia="黑体"/>
          <w:sz w:val="32"/>
          <w:szCs w:val="32"/>
        </w:rPr>
      </w:pPr>
      <w:r>
        <w:rPr>
          <w:rFonts w:hint="eastAsia" w:ascii="黑体" w:hAnsi="黑体" w:eastAsia="黑体"/>
          <w:sz w:val="32"/>
          <w:szCs w:val="32"/>
        </w:rPr>
        <w:t>附表</w:t>
      </w:r>
    </w:p>
    <w:p>
      <w:pPr>
        <w:keepNext w:val="0"/>
        <w:keepLines w:val="0"/>
        <w:pageBreakBefore w:val="0"/>
        <w:widowControl w:val="0"/>
        <w:tabs>
          <w:tab w:val="left" w:pos="9720"/>
        </w:tabs>
        <w:kinsoku/>
        <w:wordWrap/>
        <w:overflowPunct/>
        <w:topLinePunct w:val="0"/>
        <w:bidi w:val="0"/>
        <w:spacing w:line="560" w:lineRule="exact"/>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keepNext w:val="0"/>
        <w:keepLines w:val="0"/>
        <w:pageBreakBefore w:val="0"/>
        <w:widowControl w:val="0"/>
        <w:kinsoku/>
        <w:wordWrap/>
        <w:overflowPunct/>
        <w:topLinePunct w:val="0"/>
        <w:bidi w:val="0"/>
        <w:spacing w:line="560" w:lineRule="exact"/>
        <w:textAlignment w:val="auto"/>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705"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土地</w:t>
            </w:r>
          </w:p>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土地</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keepNext w:val="0"/>
              <w:keepLines w:val="0"/>
              <w:pageBreakBefore w:val="0"/>
              <w:widowControl w:val="0"/>
              <w:kinsoku/>
              <w:wordWrap/>
              <w:overflowPunct/>
              <w:topLinePunct w:val="0"/>
              <w:bidi w:val="0"/>
              <w:adjustRightInd w:val="0"/>
              <w:snapToGrid w:val="0"/>
              <w:spacing w:line="560" w:lineRule="exact"/>
              <w:ind w:left="1" w:leftChars="-89" w:hanging="188" w:hangingChars="89"/>
              <w:jc w:val="center"/>
              <w:textAlignment w:val="auto"/>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rPr>
            </w:pPr>
          </w:p>
        </w:tc>
        <w:tc>
          <w:tcPr>
            <w:tcW w:w="69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rPr>
            </w:pPr>
          </w:p>
        </w:tc>
        <w:tc>
          <w:tcPr>
            <w:tcW w:w="61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rPr>
            </w:pPr>
          </w:p>
        </w:tc>
        <w:tc>
          <w:tcPr>
            <w:tcW w:w="57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rPr>
            </w:pPr>
          </w:p>
        </w:tc>
        <w:tc>
          <w:tcPr>
            <w:tcW w:w="774"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rPr>
            </w:pPr>
          </w:p>
        </w:tc>
        <w:tc>
          <w:tcPr>
            <w:tcW w:w="948"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rPr>
            </w:pPr>
            <w:r>
              <w:rPr>
                <w:rFonts w:hint="eastAsia" w:eastAsia="仿宋_GB2312"/>
                <w:b/>
                <w:szCs w:val="21"/>
              </w:rPr>
              <w:t>建筑密度</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rPr>
            </w:pPr>
            <w:r>
              <w:rPr>
                <w:rFonts w:hint="eastAsia" w:ascii="宋体" w:hAnsi="宋体" w:cs="宋体"/>
                <w:b/>
                <w:szCs w:val="21"/>
              </w:rPr>
              <w:t>（％）</w:t>
            </w:r>
          </w:p>
        </w:tc>
        <w:tc>
          <w:tcPr>
            <w:tcW w:w="672"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keepNext w:val="0"/>
              <w:keepLines w:val="0"/>
              <w:pageBreakBefore w:val="0"/>
              <w:widowControl w:val="0"/>
              <w:kinsoku/>
              <w:wordWrap/>
              <w:overflowPunct/>
              <w:topLinePunct w:val="0"/>
              <w:bidi w:val="0"/>
              <w:spacing w:line="560" w:lineRule="exact"/>
              <w:ind w:left="44" w:right="-53" w:rightChars="-25" w:hanging="44" w:hangingChars="21"/>
              <w:jc w:val="center"/>
              <w:textAlignment w:val="auto"/>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rPr>
            </w:pPr>
            <w:r>
              <w:rPr>
                <w:rFonts w:hint="eastAsia" w:eastAsia="仿宋_GB2312"/>
                <w:b/>
                <w:szCs w:val="21"/>
              </w:rPr>
              <w:t>机动车停车位配建标准</w:t>
            </w:r>
          </w:p>
        </w:tc>
        <w:tc>
          <w:tcPr>
            <w:tcW w:w="90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rPr>
            </w:pPr>
            <w:r>
              <w:rPr>
                <w:rFonts w:hint="eastAsia" w:eastAsia="仿宋_GB2312"/>
                <w:b/>
                <w:szCs w:val="21"/>
              </w:rPr>
              <w:t>绿地率</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rPr>
            </w:pPr>
            <w:r>
              <w:rPr>
                <w:rFonts w:hint="eastAsia" w:ascii="宋体" w:hAnsi="宋体" w:cs="宋体"/>
                <w:b/>
                <w:szCs w:val="21"/>
              </w:rPr>
              <w:t>（％）</w:t>
            </w:r>
          </w:p>
        </w:tc>
        <w:tc>
          <w:tcPr>
            <w:tcW w:w="979"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lang w:eastAsia="zh-CN"/>
              </w:rPr>
            </w:pPr>
            <w:r>
              <w:rPr>
                <w:rFonts w:hint="eastAsia" w:ascii="仿宋_GB2312" w:eastAsia="仿宋_GB2312"/>
                <w:b/>
                <w:bCs/>
                <w:szCs w:val="21"/>
                <w:lang w:eastAsia="zh-CN"/>
              </w:rPr>
              <w:t>产业</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GP2021-22</w:t>
            </w:r>
          </w:p>
        </w:tc>
        <w:tc>
          <w:tcPr>
            <w:tcW w:w="69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惠州市惠城区龙丰永联路片区HCX06-05-01</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szCs w:val="21"/>
                <w:lang w:val="en-US" w:eastAsia="zh-CN"/>
              </w:rPr>
              <w:t>地块</w:t>
            </w:r>
          </w:p>
        </w:tc>
        <w:tc>
          <w:tcPr>
            <w:tcW w:w="615"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HCX06-05-01</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p>
        </w:tc>
        <w:tc>
          <w:tcPr>
            <w:tcW w:w="570" w:type="dxa"/>
            <w:tcMar>
              <w:left w:w="0" w:type="dxa"/>
              <w:right w:w="0" w:type="dxa"/>
            </w:tcMar>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szCs w:val="21"/>
                <w:lang w:eastAsia="zh-CN"/>
              </w:rPr>
              <w:t>一类工业用</w:t>
            </w:r>
            <w:bookmarkStart w:id="0" w:name="_GoBack"/>
            <w:bookmarkEnd w:id="0"/>
            <w:r>
              <w:rPr>
                <w:rFonts w:hint="eastAsia" w:ascii="仿宋_GB2312" w:hAnsi="仿宋_GB2312" w:eastAsia="仿宋_GB2312" w:cs="仿宋_GB2312"/>
                <w:b w:val="0"/>
                <w:bCs w:val="0"/>
                <w:szCs w:val="21"/>
                <w:lang w:eastAsia="zh-CN"/>
              </w:rPr>
              <w:t>地</w:t>
            </w:r>
          </w:p>
        </w:tc>
        <w:tc>
          <w:tcPr>
            <w:tcW w:w="774"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9224.61</w:t>
            </w:r>
          </w:p>
        </w:tc>
        <w:tc>
          <w:tcPr>
            <w:tcW w:w="948"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11501</w:t>
            </w:r>
          </w:p>
        </w:tc>
        <w:tc>
          <w:tcPr>
            <w:tcW w:w="72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≥30</w:t>
            </w:r>
          </w:p>
        </w:tc>
        <w:tc>
          <w:tcPr>
            <w:tcW w:w="672"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2.0-</w:t>
            </w:r>
            <w:r>
              <w:rPr>
                <w:rFonts w:hint="eastAsia" w:ascii="仿宋_GB2312" w:hAnsi="仿宋_GB2312" w:eastAsia="仿宋_GB2312" w:cs="仿宋_GB2312"/>
                <w:b w:val="0"/>
                <w:bCs w:val="0"/>
                <w:szCs w:val="21"/>
                <w:lang w:eastAsia="zh-CN"/>
              </w:rPr>
              <w:t>3.</w:t>
            </w:r>
            <w:r>
              <w:rPr>
                <w:rFonts w:hint="eastAsia" w:ascii="仿宋_GB2312" w:hAnsi="仿宋_GB2312" w:eastAsia="仿宋_GB2312" w:cs="仿宋_GB2312"/>
                <w:b w:val="0"/>
                <w:bCs w:val="0"/>
                <w:szCs w:val="21"/>
                <w:lang w:val="en-US" w:eastAsia="zh-CN"/>
              </w:rPr>
              <w:t>0</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23002-34503（其中配套设施面积≥35）</w:t>
            </w:r>
          </w:p>
        </w:tc>
        <w:tc>
          <w:tcPr>
            <w:tcW w:w="1087" w:type="dxa"/>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 w:val="21"/>
                <w:szCs w:val="21"/>
                <w:lang w:val="en-US" w:eastAsia="zh-CN"/>
              </w:rPr>
              <w:t>行政办公及生活服务设施</w:t>
            </w:r>
            <w:r>
              <w:rPr>
                <w:rFonts w:hint="eastAsia" w:ascii="仿宋_GB2312" w:hAnsi="仿宋_GB2312" w:eastAsia="仿宋_GB2312" w:cs="仿宋_GB2312"/>
                <w:b w:val="0"/>
                <w:bCs w:val="0"/>
                <w:sz w:val="21"/>
                <w:szCs w:val="21"/>
                <w:lang w:eastAsia="zh-CN"/>
              </w:rPr>
              <w:t>每100平方米计容积率</w:t>
            </w:r>
            <w:r>
              <w:rPr>
                <w:rFonts w:hint="eastAsia" w:ascii="仿宋_GB2312" w:hAnsi="仿宋_GB2312" w:eastAsia="仿宋_GB2312" w:cs="仿宋_GB2312"/>
                <w:b w:val="0"/>
                <w:bCs w:val="0"/>
                <w:sz w:val="21"/>
                <w:szCs w:val="21"/>
                <w:lang w:val="en-US" w:eastAsia="zh-CN"/>
              </w:rPr>
              <w:t>建筑</w:t>
            </w:r>
            <w:r>
              <w:rPr>
                <w:rFonts w:hint="eastAsia" w:ascii="仿宋_GB2312" w:hAnsi="仿宋_GB2312" w:eastAsia="仿宋_GB2312" w:cs="仿宋_GB2312"/>
                <w:b w:val="0"/>
                <w:bCs w:val="0"/>
                <w:sz w:val="21"/>
                <w:szCs w:val="21"/>
                <w:lang w:eastAsia="zh-CN"/>
              </w:rPr>
              <w:t>面积≥1个，</w:t>
            </w:r>
            <w:r>
              <w:rPr>
                <w:rFonts w:hint="eastAsia" w:ascii="仿宋_GB2312" w:hAnsi="仿宋_GB2312" w:eastAsia="仿宋_GB2312" w:cs="仿宋_GB2312"/>
                <w:b w:val="0"/>
                <w:bCs w:val="0"/>
                <w:sz w:val="21"/>
                <w:szCs w:val="21"/>
                <w:lang w:val="en-US" w:eastAsia="zh-CN"/>
              </w:rPr>
              <w:t>厂房每100平方米计容积率建筑面积≥0.3个，停车场须按不低于总停车位的10%的比例配置充电设施</w:t>
            </w:r>
          </w:p>
        </w:tc>
        <w:tc>
          <w:tcPr>
            <w:tcW w:w="90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szCs w:val="21"/>
                <w:lang w:val="en-US" w:eastAsia="zh-CN"/>
              </w:rPr>
              <w:t>15-20</w:t>
            </w:r>
          </w:p>
        </w:tc>
        <w:tc>
          <w:tcPr>
            <w:tcW w:w="979"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szCs w:val="21"/>
                <w:lang w:eastAsia="zh-CN"/>
              </w:rPr>
              <w:t>通信设备、计算机及其他电子设备制造业</w:t>
            </w:r>
            <w:r>
              <w:rPr>
                <w:rFonts w:hint="eastAsia" w:ascii="仿宋_GB2312" w:hAnsi="仿宋_GB2312" w:eastAsia="仿宋_GB2312" w:cs="仿宋_GB2312"/>
                <w:b w:val="0"/>
                <w:bCs w:val="0"/>
                <w:szCs w:val="21"/>
                <w:lang w:val="en-US" w:eastAsia="zh-CN"/>
              </w:rPr>
              <w:t>用地</w:t>
            </w:r>
          </w:p>
        </w:tc>
        <w:tc>
          <w:tcPr>
            <w:tcW w:w="67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r>
              <w:rPr>
                <w:rFonts w:hint="eastAsia" w:ascii="仿宋_GB2312" w:hAnsi="仿宋_GB2312" w:eastAsia="仿宋_GB2312" w:cs="仿宋_GB2312"/>
                <w:b w:val="0"/>
                <w:bCs w:val="0"/>
                <w:szCs w:val="21"/>
                <w:lang w:val="en-US" w:eastAsia="zh-CN"/>
              </w:rPr>
              <w:t>5</w:t>
            </w:r>
            <w:r>
              <w:rPr>
                <w:rFonts w:hint="eastAsia" w:ascii="仿宋_GB2312" w:hAnsi="仿宋_GB2312" w:eastAsia="仿宋_GB2312" w:cs="仿宋_GB2312"/>
                <w:b w:val="0"/>
                <w:bCs w:val="0"/>
                <w:szCs w:val="21"/>
                <w:lang w:eastAsia="zh-CN"/>
              </w:rPr>
              <w:t>0年</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val="0"/>
                <w:bCs w:val="0"/>
                <w:szCs w:val="21"/>
                <w:lang w:eastAsia="zh-CN"/>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outlineLvl w:val="9"/>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7C6F5A"/>
    <w:rsid w:val="07386886"/>
    <w:rsid w:val="07895069"/>
    <w:rsid w:val="082B1937"/>
    <w:rsid w:val="08FF2EFC"/>
    <w:rsid w:val="0AE53871"/>
    <w:rsid w:val="0C850F01"/>
    <w:rsid w:val="0D167AC3"/>
    <w:rsid w:val="0D430223"/>
    <w:rsid w:val="0DF23899"/>
    <w:rsid w:val="0E7A65F6"/>
    <w:rsid w:val="101D3BC2"/>
    <w:rsid w:val="10BD4DFA"/>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ED2229"/>
    <w:rsid w:val="21556308"/>
    <w:rsid w:val="22890C8D"/>
    <w:rsid w:val="23A027B1"/>
    <w:rsid w:val="27A65DB8"/>
    <w:rsid w:val="28774868"/>
    <w:rsid w:val="2A6B42FA"/>
    <w:rsid w:val="2A870225"/>
    <w:rsid w:val="2B4A58B1"/>
    <w:rsid w:val="2B5D4967"/>
    <w:rsid w:val="2BDF3E80"/>
    <w:rsid w:val="304C7078"/>
    <w:rsid w:val="30850F9C"/>
    <w:rsid w:val="31CE6D72"/>
    <w:rsid w:val="33861F14"/>
    <w:rsid w:val="33DD4339"/>
    <w:rsid w:val="342E378A"/>
    <w:rsid w:val="35335FA2"/>
    <w:rsid w:val="36061489"/>
    <w:rsid w:val="372361B7"/>
    <w:rsid w:val="37607760"/>
    <w:rsid w:val="380440B7"/>
    <w:rsid w:val="381E07C6"/>
    <w:rsid w:val="38BD14D1"/>
    <w:rsid w:val="3C13026D"/>
    <w:rsid w:val="3DDC60B5"/>
    <w:rsid w:val="40231E47"/>
    <w:rsid w:val="40363F40"/>
    <w:rsid w:val="409256E4"/>
    <w:rsid w:val="40B33D72"/>
    <w:rsid w:val="411B39E1"/>
    <w:rsid w:val="42CE6157"/>
    <w:rsid w:val="43706132"/>
    <w:rsid w:val="44966F93"/>
    <w:rsid w:val="45C047BF"/>
    <w:rsid w:val="4A1228DB"/>
    <w:rsid w:val="4A1B1ECC"/>
    <w:rsid w:val="4AE74DD0"/>
    <w:rsid w:val="4C2E14D5"/>
    <w:rsid w:val="4EC91786"/>
    <w:rsid w:val="4F861E18"/>
    <w:rsid w:val="538C505C"/>
    <w:rsid w:val="540106D5"/>
    <w:rsid w:val="546946EF"/>
    <w:rsid w:val="565101CA"/>
    <w:rsid w:val="567F481B"/>
    <w:rsid w:val="56816105"/>
    <w:rsid w:val="578E459E"/>
    <w:rsid w:val="57A3234F"/>
    <w:rsid w:val="57C844D5"/>
    <w:rsid w:val="596A13D8"/>
    <w:rsid w:val="5A893EB0"/>
    <w:rsid w:val="5AF873B7"/>
    <w:rsid w:val="5D241B5A"/>
    <w:rsid w:val="5D471E01"/>
    <w:rsid w:val="5E3B0440"/>
    <w:rsid w:val="5F597CB1"/>
    <w:rsid w:val="606821F3"/>
    <w:rsid w:val="64D925C4"/>
    <w:rsid w:val="68527CA2"/>
    <w:rsid w:val="692A6240"/>
    <w:rsid w:val="6EB83079"/>
    <w:rsid w:val="6F4B3B48"/>
    <w:rsid w:val="6FF0551C"/>
    <w:rsid w:val="700A52E4"/>
    <w:rsid w:val="727D44B4"/>
    <w:rsid w:val="736D1677"/>
    <w:rsid w:val="73BE7EBD"/>
    <w:rsid w:val="748840AA"/>
    <w:rsid w:val="761352C3"/>
    <w:rsid w:val="77DD303C"/>
    <w:rsid w:val="782A0826"/>
    <w:rsid w:val="79E82C45"/>
    <w:rsid w:val="7B832F79"/>
    <w:rsid w:val="7BED4162"/>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2021-07-30T02:34:00Z</cp:lastPrinted>
  <dcterms:modified xsi:type="dcterms:W3CDTF">2021-08-03T08:16:08Z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