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center"/>
        <w:rPr>
          <w:rFonts w:ascii="方正小标宋_GBK" w:hAnsi="华文中宋" w:eastAsia="方正小标宋_GBK"/>
          <w:b/>
          <w:bCs/>
          <w:spacing w:val="3"/>
          <w:sz w:val="44"/>
          <w:szCs w:val="44"/>
          <w:highlight w:val="none"/>
        </w:rPr>
      </w:pPr>
      <w:r>
        <w:rPr>
          <w:rFonts w:hint="eastAsia" w:ascii="方正小标宋_GBK" w:hAnsi="华文中宋" w:eastAsia="方正小标宋_GBK"/>
          <w:b/>
          <w:bCs/>
          <w:spacing w:val="3"/>
          <w:sz w:val="44"/>
          <w:szCs w:val="44"/>
          <w:highlight w:val="none"/>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网上挂牌</w:t>
      </w:r>
      <w:r>
        <w:rPr>
          <w:rFonts w:hint="eastAsia" w:ascii="方正小标宋_GBK" w:hAnsi="华文中宋" w:eastAsia="方正小标宋_GBK"/>
          <w:b/>
          <w:bCs/>
          <w:sz w:val="44"/>
          <w:szCs w:val="44"/>
          <w:highlight w:val="none"/>
        </w:rPr>
        <w:t>出让须知</w:t>
      </w:r>
    </w:p>
    <w:p>
      <w:pPr>
        <w:shd w:val="clear"/>
        <w:spacing w:line="60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号</w:t>
      </w:r>
    </w:p>
    <w:p>
      <w:pPr>
        <w:shd w:val="clear"/>
        <w:rPr>
          <w:rFonts w:ascii="仿宋_GB2312" w:hAnsi="仿宋_GB2312" w:eastAsia="仿宋_GB2312" w:cs="仿宋_GB2312"/>
          <w:sz w:val="32"/>
          <w:szCs w:val="32"/>
          <w:highlight w:val="none"/>
        </w:rPr>
      </w:pP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w:t>
      </w:r>
      <w:r>
        <w:rPr>
          <w:rFonts w:hint="eastAsia" w:ascii="仿宋_GB2312" w:hAnsi="仿宋_GB2312" w:eastAsia="仿宋_GB2312" w:cs="仿宋_GB2312"/>
          <w:sz w:val="32"/>
          <w:szCs w:val="32"/>
          <w:highlight w:val="none"/>
          <w:shd w:val="clear"/>
        </w:rPr>
        <w:t>挂牌出让国有土地使用权规范》等有关规定，经惠</w:t>
      </w:r>
      <w:r>
        <w:rPr>
          <w:rFonts w:hint="eastAsia" w:ascii="仿宋_GB2312" w:hAnsi="仿宋_GB2312" w:eastAsia="仿宋_GB2312" w:cs="仿宋_GB2312"/>
          <w:sz w:val="32"/>
          <w:szCs w:val="32"/>
          <w:highlight w:val="none"/>
          <w:shd w:val="clear" w:color="auto"/>
        </w:rPr>
        <w:t>州市</w:t>
      </w:r>
      <w:r>
        <w:rPr>
          <w:rFonts w:hint="eastAsia" w:ascii="仿宋_GB2312" w:hAnsi="仿宋_GB2312" w:eastAsia="仿宋_GB2312" w:cs="仿宋_GB2312"/>
          <w:sz w:val="32"/>
          <w:szCs w:val="32"/>
          <w:highlight w:val="none"/>
          <w:shd w:val="clear" w:color="auto"/>
          <w:lang w:val="en-US" w:eastAsia="zh-CN"/>
        </w:rPr>
        <w:t>惠</w:t>
      </w:r>
      <w:r>
        <w:rPr>
          <w:rFonts w:hint="eastAsia" w:ascii="仿宋_GB2312" w:hAnsi="仿宋_GB2312" w:eastAsia="仿宋_GB2312" w:cs="仿宋_GB2312"/>
          <w:sz w:val="32"/>
          <w:szCs w:val="32"/>
          <w:highlight w:val="none"/>
          <w:shd w:val="clear"/>
          <w:lang w:val="en-US" w:eastAsia="zh-CN"/>
        </w:rPr>
        <w:t>城区</w:t>
      </w:r>
      <w:r>
        <w:rPr>
          <w:rFonts w:hint="eastAsia" w:ascii="仿宋_GB2312" w:hAnsi="仿宋_GB2312" w:eastAsia="仿宋_GB2312" w:cs="仿宋_GB2312"/>
          <w:sz w:val="32"/>
          <w:szCs w:val="32"/>
          <w:highlight w:val="none"/>
          <w:shd w:val="clear"/>
        </w:rPr>
        <w:t>人民政府批</w:t>
      </w:r>
      <w:r>
        <w:rPr>
          <w:rFonts w:hint="eastAsia" w:ascii="仿宋_GB2312" w:hAnsi="仿宋_GB2312" w:eastAsia="仿宋_GB2312" w:cs="仿宋_GB2312"/>
          <w:sz w:val="32"/>
          <w:szCs w:val="32"/>
          <w:highlight w:val="none"/>
        </w:rPr>
        <w:t>准，受惠州市</w:t>
      </w:r>
      <w:r>
        <w:rPr>
          <w:rFonts w:hint="eastAsia" w:ascii="仿宋_GB2312" w:hAnsi="仿宋_GB2312" w:eastAsia="仿宋_GB2312" w:cs="仿宋_GB2312"/>
          <w:sz w:val="32"/>
          <w:szCs w:val="32"/>
          <w:highlight w:val="none"/>
          <w:lang w:val="en-US" w:eastAsia="zh-CN"/>
        </w:rPr>
        <w:t>惠城区</w:t>
      </w:r>
      <w:r>
        <w:rPr>
          <w:rFonts w:hint="eastAsia" w:ascii="仿宋_GB2312" w:hAnsi="仿宋_GB2312" w:eastAsia="仿宋_GB2312" w:cs="仿宋_GB2312"/>
          <w:sz w:val="32"/>
          <w:szCs w:val="32"/>
          <w:highlight w:val="none"/>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w:t>
      </w:r>
      <w:r>
        <w:rPr>
          <w:rFonts w:hint="eastAsia" w:ascii="仿宋_GB2312" w:hAnsi="仿宋_GB2312" w:eastAsia="仿宋_GB2312" w:cs="仿宋_GB2312"/>
          <w:b/>
          <w:bCs/>
          <w:sz w:val="32"/>
          <w:szCs w:val="32"/>
          <w:highlight w:val="none"/>
          <w:lang w:val="en-US" w:eastAsia="zh-CN"/>
        </w:rPr>
        <w:t>惠城区</w:t>
      </w:r>
      <w:r>
        <w:rPr>
          <w:rFonts w:hint="eastAsia" w:ascii="仿宋_GB2312" w:hAnsi="仿宋_GB2312" w:eastAsia="仿宋_GB2312" w:cs="仿宋_GB2312"/>
          <w:b/>
          <w:bCs/>
          <w:sz w:val="32"/>
          <w:szCs w:val="32"/>
          <w:highlight w:val="none"/>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（一）挂牌地块编号：GP20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w:t>
      </w:r>
    </w:p>
    <w:p>
      <w:pPr>
        <w:shd w:val="clea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）地块位置：惠城区高新园三栋中心园石盘头片区S-30-04-01号地块;</w:t>
      </w:r>
    </w:p>
    <w:p>
      <w:pPr>
        <w:shd w:val="clea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（三）地块编号：S-30-04-01;</w:t>
      </w:r>
    </w:p>
    <w:p>
      <w:pPr>
        <w:shd w:val="clea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（四）地块范围：</w:t>
      </w:r>
      <w:r>
        <w:rPr>
          <w:rFonts w:hint="eastAsia" w:ascii="仿宋_GB2312" w:hAnsi="宋体" w:eastAsia="仿宋_GB2312" w:cs="宋体"/>
          <w:color w:val="auto"/>
          <w:kern w:val="0"/>
          <w:sz w:val="32"/>
          <w:szCs w:val="32"/>
          <w:highlight w:val="none"/>
        </w:rPr>
        <w:t>平面界址点以宗地图为准，宗地竖向界限以《</w:t>
      </w:r>
      <w:r>
        <w:rPr>
          <w:rFonts w:hint="eastAsia" w:ascii="仿宋_GB2312" w:hAnsi="宋体" w:eastAsia="仿宋_GB2312" w:cs="宋体"/>
          <w:color w:val="auto"/>
          <w:kern w:val="0"/>
          <w:sz w:val="32"/>
          <w:szCs w:val="32"/>
          <w:highlight w:val="none"/>
          <w:lang w:val="en-US" w:eastAsia="zh-CN"/>
        </w:rPr>
        <w:t>建设用地规划设计条件</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PB20200073号</w:t>
      </w:r>
      <w:r>
        <w:rPr>
          <w:rFonts w:hint="eastAsia" w:ascii="仿宋_GB2312" w:hAnsi="宋体" w:eastAsia="仿宋_GB2312" w:cs="宋体"/>
          <w:color w:val="auto"/>
          <w:kern w:val="0"/>
          <w:sz w:val="32"/>
          <w:szCs w:val="32"/>
          <w:highlight w:val="none"/>
        </w:rPr>
        <w:t>）规定为准</w:t>
      </w:r>
      <w:r>
        <w:rPr>
          <w:rFonts w:hint="eastAsia" w:ascii="仿宋_GB2312" w:hAnsi="仿宋_GB2312" w:eastAsia="仿宋_GB2312" w:cs="仿宋_GB2312"/>
          <w:sz w:val="32"/>
          <w:szCs w:val="32"/>
          <w:highlight w:val="none"/>
        </w:rPr>
        <w:t>；</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宗地使用权面积为：39011.86平方米；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（六）计算指标用地面积为：40741.49平方米；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（七）计容积率建筑面积：81652-136086（其中配套设施建筑面积≥60）平方米；</w:t>
      </w:r>
    </w:p>
    <w:p>
      <w:pPr>
        <w:shd w:val="clear"/>
        <w:tabs>
          <w:tab w:val="left" w:pos="840"/>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（八）容积率为：1.8-3.0；</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（九）建筑密度为：≥35%；</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十）机动车停车位配建标准：每100平方米计容积率建筑面积≥0.2个，停车场须按不低于10%的比例配置充电设施；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）土地用途为：</w:t>
      </w:r>
      <w:r>
        <w:rPr>
          <w:rFonts w:hint="eastAsia" w:ascii="仿宋_GB2312" w:hAnsi="仿宋_GB2312" w:eastAsia="仿宋_GB2312" w:cs="仿宋_GB2312"/>
          <w:sz w:val="32"/>
          <w:szCs w:val="32"/>
          <w:highlight w:val="none"/>
          <w:lang w:val="en-US" w:eastAsia="zh-CN"/>
        </w:rPr>
        <w:t>一类工业用地</w:t>
      </w:r>
      <w:r>
        <w:rPr>
          <w:rFonts w:hint="eastAsia" w:ascii="仿宋_GB2312" w:hAnsi="仿宋_GB2312" w:eastAsia="仿宋_GB2312" w:cs="仿宋_GB2312"/>
          <w:sz w:val="32"/>
          <w:szCs w:val="32"/>
          <w:highlight w:val="none"/>
        </w:rPr>
        <w:t>；</w:t>
      </w:r>
    </w:p>
    <w:p>
      <w:pPr>
        <w:shd w:val="clea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）土地使用权出让年</w:t>
      </w:r>
      <w:r>
        <w:rPr>
          <w:rFonts w:hint="eastAsia" w:ascii="仿宋_GB2312" w:hAnsi="仿宋_GB2312" w:eastAsia="仿宋_GB2312" w:cs="仿宋_GB2312"/>
          <w:sz w:val="32"/>
          <w:szCs w:val="32"/>
          <w:highlight w:val="none"/>
          <w:lang w:val="en-US" w:eastAsia="zh-CN"/>
        </w:rPr>
        <w:t>限</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50年</w:t>
      </w:r>
      <w:r>
        <w:rPr>
          <w:rFonts w:hint="eastAsia" w:ascii="仿宋_GB2312" w:hAnsi="仿宋_GB2312" w:eastAsia="仿宋_GB2312" w:cs="仿宋_GB2312"/>
          <w:sz w:val="32"/>
          <w:szCs w:val="32"/>
          <w:highlight w:val="none"/>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产业类型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专业产业园区运营、科技推广和应用服务业</w:t>
      </w:r>
      <w:r>
        <w:rPr>
          <w:rFonts w:hint="eastAsia" w:ascii="仿宋_GB2312" w:hAnsi="仿宋_GB2312" w:eastAsia="仿宋_GB2312" w:cs="仿宋_GB2312"/>
          <w:sz w:val="32"/>
          <w:szCs w:val="32"/>
          <w:highlight w:val="none"/>
          <w:lang w:val="en-US" w:eastAsia="zh-CN"/>
        </w:rPr>
        <w:t>用地</w:t>
      </w:r>
      <w:r>
        <w:rPr>
          <w:rFonts w:hint="eastAsia" w:ascii="仿宋_GB2312" w:hAnsi="仿宋_GB2312" w:eastAsia="仿宋_GB2312" w:cs="仿宋_GB2312"/>
          <w:sz w:val="32"/>
          <w:szCs w:val="32"/>
          <w:highlight w:val="none"/>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 动工及竣工时间：</w:t>
      </w:r>
      <w:r>
        <w:rPr>
          <w:rFonts w:hint="eastAsia" w:ascii="仿宋_GB2312" w:hAnsi="宋体" w:eastAsia="仿宋_GB2312" w:cs="宋体"/>
          <w:color w:val="auto"/>
          <w:kern w:val="0"/>
          <w:sz w:val="32"/>
          <w:szCs w:val="32"/>
          <w:highlight w:val="none"/>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rPr>
        <w:t>；</w:t>
      </w:r>
    </w:p>
    <w:p>
      <w:pPr>
        <w:shd w:val="clear"/>
        <w:tabs>
          <w:tab w:val="left" w:pos="3388"/>
        </w:tabs>
        <w:spacing w:line="560" w:lineRule="exact"/>
        <w:jc w:val="left"/>
        <w:rPr>
          <w:rFonts w:hint="eastAsia" w:ascii="Times New Roman" w:hAnsi="Times New Roman" w:eastAsia="仿宋_GB2312"/>
          <w:sz w:val="30"/>
          <w:szCs w:val="30"/>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（一）</w:t>
      </w:r>
      <w:r>
        <w:rPr>
          <w:rFonts w:hint="eastAsia" w:ascii="仿宋_GB2312" w:hAnsi="仿宋_GB2312" w:eastAsia="仿宋_GB2312" w:cs="仿宋_GB2312"/>
          <w:sz w:val="32"/>
          <w:szCs w:val="32"/>
          <w:highlight w:val="none"/>
          <w:lang w:eastAsia="zh-CN"/>
        </w:rPr>
        <w:t>开发投资总额不少于人民币</w:t>
      </w:r>
      <w:r>
        <w:rPr>
          <w:rFonts w:hint="eastAsia" w:ascii="仿宋_GB2312" w:hAnsi="仿宋_GB2312" w:eastAsia="仿宋_GB2312" w:cs="仿宋_GB2312"/>
          <w:sz w:val="32"/>
          <w:szCs w:val="32"/>
          <w:highlight w:val="none"/>
          <w:lang w:val="en-US" w:eastAsia="zh-CN"/>
        </w:rPr>
        <w:t>61113万元</w:t>
      </w:r>
      <w:r>
        <w:rPr>
          <w:rFonts w:hint="eastAsia" w:ascii="仿宋_GB2312" w:hAnsi="仿宋_GB2312" w:eastAsia="仿宋_GB2312" w:cs="仿宋_GB2312"/>
          <w:sz w:val="32"/>
          <w:szCs w:val="32"/>
          <w:highlight w:val="none"/>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lang w:eastAsia="zh-CN"/>
        </w:rPr>
      </w:pPr>
      <w:r>
        <w:rPr>
          <w:rFonts w:eastAsia="仿宋_GB2312"/>
          <w:sz w:val="32"/>
          <w:szCs w:val="32"/>
          <w:highlight w:val="none"/>
        </w:rPr>
        <w:t>（二）</w:t>
      </w:r>
      <w:r>
        <w:rPr>
          <w:rFonts w:hint="eastAsia" w:ascii="仿宋_GB2312" w:hAnsi="仿宋_GB2312" w:eastAsia="仿宋_GB2312" w:cs="仿宋_GB2312"/>
          <w:sz w:val="32"/>
          <w:szCs w:val="32"/>
          <w:highlight w:val="none"/>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（三）竞得人在用地红线内开发建设必须符合城市规划要求，必须按</w:t>
      </w:r>
      <w:r>
        <w:rPr>
          <w:rFonts w:hint="eastAsia" w:ascii="仿宋_GB2312" w:hAnsi="宋体" w:eastAsia="仿宋_GB2312" w:cs="宋体"/>
          <w:color w:val="auto"/>
          <w:kern w:val="0"/>
          <w:sz w:val="32"/>
          <w:szCs w:val="32"/>
          <w:highlight w:val="none"/>
          <w:lang w:eastAsia="zh-CN"/>
        </w:rPr>
        <w:t>项目规划建设方案</w:t>
      </w:r>
      <w:r>
        <w:rPr>
          <w:rFonts w:hint="eastAsia" w:ascii="仿宋_GB2312" w:hAnsi="仿宋_GB2312" w:eastAsia="仿宋_GB2312" w:cs="仿宋_GB2312"/>
          <w:sz w:val="32"/>
          <w:szCs w:val="32"/>
          <w:highlight w:val="none"/>
          <w:lang w:eastAsia="zh-CN"/>
        </w:rPr>
        <w:t>的要求进行规划设计。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（四）项目规划建设方案</w:t>
      </w:r>
    </w:p>
    <w:p>
      <w:pPr>
        <w:pStyle w:val="2"/>
        <w:pageBreakBefore w:val="0"/>
        <w:numPr>
          <w:ilvl w:val="0"/>
          <w:numId w:val="0"/>
        </w:numPr>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宋体" w:eastAsia="仿宋_GB2312" w:cs="宋体"/>
          <w:color w:val="auto"/>
          <w:kern w:val="0"/>
          <w:sz w:val="32"/>
          <w:szCs w:val="32"/>
          <w:highlight w:val="none"/>
          <w:lang w:val="en-US" w:eastAsia="zh-CN" w:bidi="ar-SA"/>
        </w:rPr>
        <w:t>主要技术经济指标：规划布局9栋厂房，计算指标用地面积4074</w:t>
      </w:r>
      <w:r>
        <w:rPr>
          <w:rFonts w:hint="eastAsia" w:ascii="仿宋_GB2312" w:hAnsi="宋体" w:eastAsia="仿宋_GB2312" w:cs="宋体"/>
          <w:color w:val="auto"/>
          <w:kern w:val="0"/>
          <w:sz w:val="32"/>
          <w:szCs w:val="32"/>
          <w:highlight w:val="none"/>
          <w:lang w:val="en-US" w:eastAsia="zh-CN" w:bidi="ar-SA"/>
        </w:rPr>
        <w:t>1.49</w:t>
      </w:r>
      <w:r>
        <w:rPr>
          <w:rFonts w:hint="default" w:ascii="仿宋_GB2312" w:hAnsi="宋体" w:eastAsia="仿宋_GB2312" w:cs="宋体"/>
          <w:color w:val="auto"/>
          <w:kern w:val="0"/>
          <w:sz w:val="32"/>
          <w:szCs w:val="32"/>
          <w:highlight w:val="none"/>
          <w:lang w:val="en-US" w:eastAsia="zh-CN" w:bidi="ar-SA"/>
        </w:rPr>
        <w:t>平方米，建筑层数地上最高9层（建筑高度48.1米），计容积率建筑面积86952.8平方米，容积率2.13，基底面积18666.5平方米，建筑密度45.8%，绿地率15%，机动车停车位177个（全部地上），非机动车停车位435个。所报方案技术指标符合《规划设计条件告知书》（PB20200073）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r>
        <w:rPr>
          <w:rFonts w:hint="eastAsia" w:ascii="仿宋_GB2312" w:hAnsi="宋体" w:eastAsia="仿宋_GB2312" w:cs="宋体"/>
          <w:color w:val="auto"/>
          <w:kern w:val="0"/>
          <w:sz w:val="32"/>
          <w:szCs w:val="32"/>
          <w:highlight w:val="none"/>
          <w:lang w:val="en-US" w:eastAsia="zh-CN"/>
        </w:rPr>
        <w:t>本项目应按照《惠州市人民政府办公室关于大力发展装配式建筑的实施意见》（惠府办[2019]10号）的要求执行。</w:t>
      </w:r>
    </w:p>
    <w:p>
      <w:pPr>
        <w:pStyle w:val="2"/>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（五）招商条件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投资强度不低于</w:t>
      </w:r>
      <w:r>
        <w:rPr>
          <w:rFonts w:hint="eastAsia" w:ascii="仿宋_GB2312" w:hAnsi="宋体" w:eastAsia="仿宋_GB2312" w:cs="宋体"/>
          <w:color w:val="auto"/>
          <w:kern w:val="0"/>
          <w:sz w:val="32"/>
          <w:szCs w:val="32"/>
          <w:highlight w:val="none"/>
          <w:lang w:val="en-US" w:eastAsia="zh-CN"/>
        </w:rPr>
        <w:t>15000元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，土地产出率（营业收入）不低于</w:t>
      </w:r>
      <w:r>
        <w:rPr>
          <w:rFonts w:hint="eastAsia" w:ascii="仿宋_GB2312" w:hAnsi="宋体" w:eastAsia="仿宋_GB2312" w:cs="宋体"/>
          <w:color w:val="auto"/>
          <w:kern w:val="0"/>
          <w:sz w:val="32"/>
          <w:szCs w:val="32"/>
          <w:highlight w:val="none"/>
          <w:lang w:val="en-US" w:eastAsia="zh-CN"/>
        </w:rPr>
        <w:t>20000</w:t>
      </w:r>
      <w:r>
        <w:rPr>
          <w:rFonts w:hint="eastAsia" w:ascii="仿宋_GB2312" w:hAnsi="宋体" w:eastAsia="仿宋_GB2312" w:cs="宋体"/>
          <w:color w:val="auto"/>
          <w:kern w:val="0"/>
          <w:sz w:val="32"/>
          <w:szCs w:val="32"/>
          <w:highlight w:val="none"/>
        </w:rPr>
        <w:t>元/</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/年，税收产出不低于</w:t>
      </w:r>
      <w:r>
        <w:rPr>
          <w:rFonts w:hint="eastAsia" w:ascii="仿宋_GB2312" w:hAnsi="宋体" w:eastAsia="仿宋_GB2312" w:cs="宋体"/>
          <w:color w:val="auto"/>
          <w:kern w:val="0"/>
          <w:sz w:val="32"/>
          <w:szCs w:val="32"/>
          <w:highlight w:val="none"/>
          <w:lang w:val="en-US" w:eastAsia="zh-CN"/>
        </w:rPr>
        <w:t>1200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/年。其中，土地产出率及税收产出</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在项目投产后</w:t>
      </w:r>
      <w:r>
        <w:rPr>
          <w:rFonts w:hint="eastAsia" w:ascii="仿宋_GB2312" w:hAnsi="宋体" w:eastAsia="仿宋_GB2312" w:cs="宋体"/>
          <w:color w:val="auto"/>
          <w:kern w:val="0"/>
          <w:sz w:val="32"/>
          <w:szCs w:val="32"/>
          <w:highlight w:val="none"/>
          <w:lang w:val="en-US" w:eastAsia="zh-CN"/>
        </w:rPr>
        <w:t>3年内逐年</w:t>
      </w:r>
      <w:r>
        <w:rPr>
          <w:rFonts w:hint="eastAsia" w:ascii="仿宋_GB2312" w:hAnsi="宋体" w:eastAsia="仿宋_GB2312" w:cs="宋体"/>
          <w:color w:val="auto"/>
          <w:kern w:val="0"/>
          <w:sz w:val="32"/>
          <w:szCs w:val="32"/>
          <w:highlight w:val="none"/>
        </w:rPr>
        <w:t>考核，</w:t>
      </w:r>
      <w:r>
        <w:rPr>
          <w:rFonts w:hint="eastAsia" w:ascii="仿宋_GB2312" w:hAnsi="宋体" w:eastAsia="仿宋_GB2312" w:cs="宋体"/>
          <w:color w:val="auto"/>
          <w:kern w:val="0"/>
          <w:sz w:val="32"/>
          <w:szCs w:val="32"/>
          <w:highlight w:val="none"/>
          <w:lang w:val="en-US" w:eastAsia="zh-CN"/>
        </w:rPr>
        <w:t>3年内的</w:t>
      </w:r>
      <w:r>
        <w:rPr>
          <w:rFonts w:hint="eastAsia" w:ascii="仿宋_GB2312" w:hAnsi="宋体" w:eastAsia="仿宋_GB2312" w:cs="宋体"/>
          <w:color w:val="auto"/>
          <w:kern w:val="0"/>
          <w:sz w:val="32"/>
          <w:szCs w:val="32"/>
          <w:highlight w:val="none"/>
        </w:rPr>
        <w:t>平均值不得低于上述标准。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highlight w:val="none"/>
          <w:lang w:val="en-US" w:eastAsia="zh-CN"/>
        </w:rPr>
        <w:t>向自然资源部门申请，经</w:t>
      </w:r>
      <w:r>
        <w:rPr>
          <w:rFonts w:hint="eastAsia" w:ascii="仿宋_GB2312" w:hAnsi="宋体" w:eastAsia="仿宋_GB2312" w:cs="宋体"/>
          <w:color w:val="auto"/>
          <w:kern w:val="0"/>
          <w:sz w:val="32"/>
          <w:szCs w:val="32"/>
          <w:highlight w:val="none"/>
        </w:rPr>
        <w:t>惠城区人民政府</w:t>
      </w:r>
      <w:r>
        <w:rPr>
          <w:rFonts w:hint="eastAsia" w:ascii="仿宋_GB2312" w:hAnsi="宋体" w:eastAsia="仿宋_GB2312" w:cs="宋体"/>
          <w:color w:val="auto"/>
          <w:kern w:val="0"/>
          <w:sz w:val="32"/>
          <w:szCs w:val="32"/>
          <w:highlight w:val="none"/>
          <w:lang w:val="en-US" w:eastAsia="zh-CN"/>
        </w:rPr>
        <w:t>备案</w:t>
      </w:r>
      <w:r>
        <w:rPr>
          <w:rFonts w:hint="eastAsia" w:ascii="仿宋_GB2312" w:hAnsi="宋体" w:eastAsia="仿宋_GB2312" w:cs="宋体"/>
          <w:color w:val="auto"/>
          <w:kern w:val="0"/>
          <w:sz w:val="32"/>
          <w:szCs w:val="32"/>
          <w:highlight w:val="none"/>
        </w:rPr>
        <w:t>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1"/>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竞得人在签订《成交确认书》前，须与</w:t>
      </w:r>
      <w:r>
        <w:rPr>
          <w:rFonts w:hint="eastAsia" w:ascii="仿宋_GB2312" w:hAnsi="宋体" w:eastAsia="仿宋_GB2312" w:cs="宋体"/>
          <w:color w:val="auto"/>
          <w:kern w:val="0"/>
          <w:sz w:val="32"/>
          <w:szCs w:val="32"/>
          <w:highlight w:val="none"/>
          <w:lang w:val="en-US" w:eastAsia="zh-CN"/>
        </w:rPr>
        <w:t>惠城区高新科技产业园管委会</w:t>
      </w:r>
      <w:r>
        <w:rPr>
          <w:rFonts w:hint="eastAsia" w:ascii="仿宋_GB2312" w:hAnsi="宋体" w:eastAsia="仿宋_GB2312" w:cs="宋体"/>
          <w:color w:val="auto"/>
          <w:kern w:val="0"/>
          <w:sz w:val="32"/>
          <w:szCs w:val="32"/>
          <w:highlight w:val="none"/>
        </w:rPr>
        <w:t>签订《惠城区工业项目</w:t>
      </w:r>
      <w:r>
        <w:rPr>
          <w:rFonts w:hint="eastAsia" w:ascii="仿宋_GB2312" w:hAnsi="宋体" w:eastAsia="仿宋_GB2312" w:cs="宋体"/>
          <w:color w:val="auto"/>
          <w:kern w:val="0"/>
          <w:sz w:val="32"/>
          <w:szCs w:val="32"/>
          <w:highlight w:val="none"/>
          <w:lang w:val="en-US" w:eastAsia="zh-CN"/>
        </w:rPr>
        <w:t>实施</w:t>
      </w:r>
      <w:r>
        <w:rPr>
          <w:rFonts w:hint="eastAsia" w:ascii="仿宋_GB2312" w:hAnsi="宋体" w:eastAsia="仿宋_GB2312" w:cs="宋体"/>
          <w:color w:val="auto"/>
          <w:kern w:val="0"/>
          <w:sz w:val="32"/>
          <w:szCs w:val="32"/>
          <w:highlight w:val="none"/>
        </w:rPr>
        <w:t>监管协议书》，并由</w:t>
      </w:r>
      <w:r>
        <w:rPr>
          <w:rFonts w:hint="eastAsia" w:ascii="仿宋_GB2312" w:hAnsi="宋体" w:eastAsia="仿宋_GB2312" w:cs="宋体"/>
          <w:color w:val="auto"/>
          <w:kern w:val="0"/>
          <w:sz w:val="32"/>
          <w:szCs w:val="32"/>
          <w:highlight w:val="none"/>
          <w:lang w:val="en-US" w:eastAsia="zh-CN"/>
        </w:rPr>
        <w:t>惠城区高新科技产业园管委会</w:t>
      </w:r>
      <w:r>
        <w:rPr>
          <w:rFonts w:hint="eastAsia" w:ascii="仿宋_GB2312" w:hAnsi="宋体" w:eastAsia="仿宋_GB2312" w:cs="宋体"/>
          <w:color w:val="auto"/>
          <w:kern w:val="0"/>
          <w:sz w:val="32"/>
          <w:szCs w:val="32"/>
          <w:highlight w:val="none"/>
        </w:rPr>
        <w:t>对项目用地实施批后监管。</w:t>
      </w:r>
    </w:p>
    <w:p>
      <w:pPr>
        <w:keepNext w:val="0"/>
        <w:keepLines w:val="0"/>
        <w:pageBreakBefore w:val="0"/>
        <w:widowControl w:val="0"/>
        <w:numPr>
          <w:ilvl w:val="0"/>
          <w:numId w:val="1"/>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约定条件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highlight w:val="none"/>
          <w:lang w:eastAsia="zh-CN"/>
        </w:rPr>
      </w:pPr>
      <w:r>
        <w:rPr>
          <w:rFonts w:hint="eastAsia" w:ascii="仿宋_GB2312" w:hAnsi="仿宋_GB2312" w:eastAsia="仿宋_GB2312" w:cs="仿宋_GB2312"/>
          <w:b w:val="0"/>
          <w:bCs w:val="0"/>
          <w:color w:val="000000"/>
          <w:kern w:val="0"/>
          <w:sz w:val="32"/>
          <w:szCs w:val="32"/>
          <w:highlight w:val="none"/>
        </w:rPr>
        <w:t>竞得人需</w:t>
      </w:r>
      <w:r>
        <w:rPr>
          <w:rFonts w:hint="eastAsia" w:ascii="仿宋_GB2312" w:hAnsi="仿宋_GB2312" w:eastAsia="仿宋_GB2312" w:cs="仿宋_GB2312"/>
          <w:b w:val="0"/>
          <w:bCs w:val="0"/>
          <w:color w:val="000000"/>
          <w:kern w:val="0"/>
          <w:sz w:val="32"/>
          <w:szCs w:val="32"/>
          <w:highlight w:val="none"/>
          <w:lang w:val="en-US" w:eastAsia="zh-CN"/>
        </w:rPr>
        <w:t>按照供电设计相关规范要求，在地块内</w:t>
      </w:r>
      <w:r>
        <w:rPr>
          <w:rFonts w:hint="eastAsia" w:ascii="仿宋_GB2312" w:hAnsi="仿宋_GB2312" w:eastAsia="仿宋_GB2312" w:cs="仿宋_GB2312"/>
          <w:b w:val="0"/>
          <w:bCs w:val="0"/>
          <w:color w:val="000000"/>
          <w:kern w:val="0"/>
          <w:sz w:val="32"/>
          <w:szCs w:val="32"/>
          <w:highlight w:val="none"/>
          <w:lang w:eastAsia="zh-CN"/>
        </w:rPr>
        <w:t>承担建筑</w:t>
      </w:r>
      <w:r>
        <w:rPr>
          <w:rFonts w:hint="eastAsia" w:ascii="仿宋_GB2312" w:hAnsi="仿宋_GB2312" w:eastAsia="仿宋_GB2312" w:cs="仿宋_GB2312"/>
          <w:b w:val="0"/>
          <w:bCs w:val="0"/>
          <w:color w:val="000000"/>
          <w:kern w:val="0"/>
          <w:sz w:val="32"/>
          <w:szCs w:val="32"/>
          <w:highlight w:val="none"/>
          <w:lang w:val="en-US" w:eastAsia="zh-CN"/>
        </w:rPr>
        <w:t>一个</w:t>
      </w:r>
      <w:r>
        <w:rPr>
          <w:rFonts w:hint="eastAsia" w:ascii="仿宋_GB2312" w:hAnsi="仿宋_GB2312" w:eastAsia="仿宋_GB2312" w:cs="仿宋_GB2312"/>
          <w:b w:val="0"/>
          <w:bCs w:val="0"/>
          <w:color w:val="000000"/>
          <w:kern w:val="0"/>
          <w:sz w:val="32"/>
          <w:szCs w:val="32"/>
          <w:highlight w:val="none"/>
          <w:lang w:eastAsia="zh-CN"/>
        </w:rPr>
        <w:t>面积≥</w:t>
      </w:r>
      <w:r>
        <w:rPr>
          <w:rFonts w:hint="eastAsia" w:ascii="仿宋_GB2312" w:hAnsi="仿宋_GB2312" w:eastAsia="仿宋_GB2312" w:cs="仿宋_GB2312"/>
          <w:b w:val="0"/>
          <w:bCs w:val="0"/>
          <w:color w:val="000000"/>
          <w:kern w:val="0"/>
          <w:sz w:val="32"/>
          <w:szCs w:val="32"/>
          <w:highlight w:val="none"/>
          <w:lang w:val="en-US" w:eastAsia="zh-CN"/>
        </w:rPr>
        <w:t>60㎡、建筑占地面积≥60㎡的园区供电开关站配套用房，建成后无偿移交给惠城区政府相关部门使用。</w:t>
      </w:r>
    </w:p>
    <w:p>
      <w:pPr>
        <w:shd w:val="clea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480" w:firstLineChars="15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竞买人缴交的竞买保证金为人民币</w:t>
      </w:r>
      <w:r>
        <w:rPr>
          <w:rFonts w:hint="eastAsia" w:ascii="仿宋_GB2312" w:hAnsi="仿宋_GB2312" w:eastAsia="仿宋_GB2312" w:cs="仿宋_GB2312"/>
          <w:kern w:val="0"/>
          <w:sz w:val="32"/>
          <w:szCs w:val="32"/>
          <w:highlight w:val="none"/>
          <w:lang w:val="en-US" w:eastAsia="zh-CN"/>
        </w:rPr>
        <w:t>1200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kern w:val="0"/>
          <w:sz w:val="32"/>
          <w:szCs w:val="32"/>
          <w:highlight w:val="none"/>
        </w:rPr>
        <w:t>。</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rPr>
        <w:t>）预先办理数字证书。本次国有建设用地使用权网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rPr>
        <w:t>：</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1、存在伪造公文骗取用地和非法倒卖土地等犯罪行为的；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2、存在非法转让土地使用权等违法行为的；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3、因企业原因造成土地闲置一年以上且至报名日止未处罚完结的；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4、开发建设企业有违背出让合同约定条件开发利用土地情形且至报名日止未处罚完结的；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竞得人有下列行为之一的，视为违约，取消竞得人资格，</w:t>
      </w:r>
      <w:r>
        <w:rPr>
          <w:rFonts w:hint="eastAsia" w:ascii="仿宋_GB2312" w:hAnsi="仿宋_GB2312" w:eastAsia="仿宋_GB2312" w:cs="仿宋_GB2312"/>
          <w:sz w:val="32"/>
          <w:szCs w:val="32"/>
          <w:highlight w:val="none"/>
          <w:lang w:val="en-US" w:eastAsia="zh-CN"/>
        </w:rPr>
        <w:t>定金不予退还,</w:t>
      </w:r>
      <w:r>
        <w:rPr>
          <w:rFonts w:hint="eastAsia" w:ascii="仿宋_GB2312" w:hAnsi="仿宋_GB2312" w:eastAsia="仿宋_GB2312" w:cs="仿宋_GB2312"/>
          <w:sz w:val="32"/>
          <w:szCs w:val="32"/>
          <w:highlight w:val="none"/>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肆仟</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4000</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）,增价幅度为人民币</w:t>
      </w:r>
      <w:r>
        <w:rPr>
          <w:rFonts w:hint="eastAsia" w:ascii="仿宋_GB2312" w:hAnsi="仿宋_GB2312" w:eastAsia="仿宋_GB2312" w:cs="仿宋_GB2312"/>
          <w:color w:val="auto"/>
          <w:sz w:val="32"/>
          <w:szCs w:val="32"/>
          <w:highlight w:val="none"/>
          <w:u w:val="single"/>
          <w:lang w:val="en-US" w:eastAsia="zh-CN"/>
        </w:rPr>
        <w:t>伍拾</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0</w:t>
      </w:r>
      <w:r>
        <w:rPr>
          <w:rFonts w:hint="eastAsia" w:ascii="仿宋_GB2312" w:hAnsi="仿宋_GB2312" w:eastAsia="仿宋_GB2312" w:cs="仿宋_GB2312"/>
          <w:color w:val="auto"/>
          <w:sz w:val="32"/>
          <w:szCs w:val="32"/>
          <w:highlight w:val="none"/>
        </w:rPr>
        <w:t>万元）。</w:t>
      </w:r>
    </w:p>
    <w:p>
      <w:pPr>
        <w:shd w:val="clear"/>
        <w:tabs>
          <w:tab w:val="left" w:pos="3388"/>
        </w:tabs>
        <w:spacing w:line="560" w:lineRule="exact"/>
        <w:jc w:val="left"/>
        <w:rPr>
          <w:rFonts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10时。</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shd w:val="clear"/>
        <w:tabs>
          <w:tab w:val="left" w:pos="3388"/>
        </w:tabs>
        <w:spacing w:line="560" w:lineRule="exact"/>
        <w:ind w:firstLine="640"/>
        <w:jc w:val="left"/>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5、《建设用地规划设计条件》（PB20200073）</w:t>
      </w:r>
      <w:r>
        <w:rPr>
          <w:rFonts w:hint="eastAsia" w:ascii="仿宋_GB2312" w:hAnsi="仿宋_GB2312" w:eastAsia="仿宋_GB2312" w:cs="仿宋_GB2312"/>
          <w:sz w:val="32"/>
          <w:szCs w:val="32"/>
          <w:highlight w:val="none"/>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 xml:space="preserve"> 8、</w:t>
      </w:r>
      <w:r>
        <w:rPr>
          <w:rFonts w:hint="eastAsia" w:ascii="仿宋_GB2312" w:hAnsi="仿宋_GB2312" w:eastAsia="仿宋_GB2312" w:cs="仿宋_GB2312"/>
          <w:kern w:val="2"/>
          <w:sz w:val="32"/>
          <w:szCs w:val="32"/>
          <w:highlight w:val="none"/>
          <w:lang w:val="en-US" w:eastAsia="zh-CN" w:bidi="ar-SA"/>
        </w:rPr>
        <w:t>《惠城区工业项目实施监管协议书》</w:t>
      </w:r>
    </w:p>
    <w:p>
      <w:pPr>
        <w:shd w:val="clear"/>
        <w:tabs>
          <w:tab w:val="left" w:pos="3388"/>
        </w:tabs>
        <w:spacing w:line="560" w:lineRule="exact"/>
        <w:ind w:left="0" w:leftChars="0" w:firstLine="640" w:firstLineChars="200"/>
        <w:jc w:val="left"/>
        <w:rPr>
          <w:highlight w:val="none"/>
        </w:rPr>
      </w:pPr>
      <w:r>
        <w:rPr>
          <w:rFonts w:hint="eastAsia" w:ascii="仿宋_GB2312" w:hAnsi="仿宋_GB2312" w:eastAsia="仿宋_GB2312" w:cs="仿宋_GB2312"/>
          <w:sz w:val="32"/>
          <w:szCs w:val="32"/>
          <w:highlight w:val="none"/>
          <w:lang w:val="en-US" w:eastAsia="zh-CN"/>
        </w:rPr>
        <w:t>9、其他相关文件</w:t>
      </w:r>
      <w:r>
        <w:rPr>
          <w:rFonts w:hint="eastAsia" w:ascii="仿宋_GB2312" w:hAnsi="仿宋_GB2312" w:eastAsia="仿宋_GB2312" w:cs="仿宋_GB2312"/>
          <w:sz w:val="32"/>
          <w:szCs w:val="32"/>
          <w:highlight w:val="none"/>
        </w:rPr>
        <w:t>。</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rPr>
      </w:pPr>
      <w:bookmarkStart w:id="4" w:name="103"/>
      <w:bookmarkEnd w:id="4"/>
      <w:r>
        <w:rPr>
          <w:rFonts w:hint="eastAsia" w:ascii="仿宋_GB2312" w:hAnsi="仿宋_GB2312" w:eastAsia="仿宋_GB2312" w:cs="仿宋_GB2312"/>
          <w:b/>
          <w:bCs/>
          <w:sz w:val="32"/>
          <w:szCs w:val="32"/>
          <w:highlight w:val="none"/>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rPr>
      </w:pPr>
      <w:r>
        <w:rPr>
          <w:rFonts w:hint="eastAsia" w:ascii="仿宋_GB2312" w:hAnsi="仿宋_GB2312" w:eastAsia="仿宋_GB2312" w:cs="仿宋_GB2312"/>
          <w:sz w:val="32"/>
          <w:szCs w:val="32"/>
          <w:highlight w:val="none"/>
        </w:rPr>
        <w:t>（二）本宗地竞买保证金到账截止时间为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9时整，竞买保证金为人民币</w:t>
      </w:r>
      <w:r>
        <w:rPr>
          <w:rFonts w:hint="eastAsia" w:ascii="仿宋_GB2312" w:hAnsi="仿宋_GB2312" w:eastAsia="仿宋_GB2312" w:cs="仿宋_GB2312"/>
          <w:color w:val="auto"/>
          <w:sz w:val="32"/>
          <w:szCs w:val="32"/>
          <w:highlight w:val="none"/>
          <w:u w:val="single"/>
          <w:shd w:val="clear"/>
          <w:lang w:val="en-US" w:eastAsia="zh-CN"/>
        </w:rPr>
        <w:t>壹仟贰佰万元</w:t>
      </w:r>
      <w:r>
        <w:rPr>
          <w:rFonts w:hint="eastAsia" w:ascii="仿宋_GB2312" w:hAnsi="仿宋_GB2312" w:eastAsia="仿宋_GB2312" w:cs="仿宋_GB2312"/>
          <w:color w:val="auto"/>
          <w:sz w:val="32"/>
          <w:szCs w:val="32"/>
          <w:highlight w:val="none"/>
          <w:u w:val="single"/>
          <w:shd w:val="clear"/>
        </w:rPr>
        <w:t>整</w:t>
      </w:r>
      <w:r>
        <w:rPr>
          <w:rFonts w:hint="eastAsia" w:ascii="仿宋_GB2312" w:hAnsi="仿宋_GB2312" w:eastAsia="仿宋_GB2312" w:cs="仿宋_GB2312"/>
          <w:color w:val="auto"/>
          <w:sz w:val="32"/>
          <w:szCs w:val="32"/>
          <w:highlight w:val="none"/>
          <w:shd w:val="clear"/>
        </w:rPr>
        <w:t>（￥</w:t>
      </w:r>
      <w:r>
        <w:rPr>
          <w:rFonts w:hint="eastAsia" w:ascii="仿宋_GB2312" w:hAnsi="仿宋_GB2312" w:eastAsia="仿宋_GB2312" w:cs="仿宋_GB2312"/>
          <w:color w:val="auto"/>
          <w:sz w:val="32"/>
          <w:szCs w:val="32"/>
          <w:highlight w:val="none"/>
          <w:shd w:val="clear"/>
          <w:lang w:val="en-US" w:eastAsia="zh-CN"/>
        </w:rPr>
        <w:t>1200</w:t>
      </w:r>
      <w:r>
        <w:rPr>
          <w:rFonts w:hint="eastAsia" w:ascii="仿宋_GB2312" w:hAnsi="仿宋_GB2312" w:eastAsia="仿宋_GB2312" w:cs="仿宋_GB2312"/>
          <w:color w:val="auto"/>
          <w:sz w:val="32"/>
          <w:szCs w:val="32"/>
          <w:highlight w:val="none"/>
          <w:shd w:val="clear"/>
        </w:rPr>
        <w:t>万元）</w:t>
      </w:r>
      <w:r>
        <w:rPr>
          <w:rFonts w:hint="eastAsia" w:ascii="仿宋_GB2312" w:hAnsi="仿宋_GB2312" w:eastAsia="仿宋_GB2312" w:cs="仿宋_GB2312"/>
          <w:sz w:val="32"/>
          <w:szCs w:val="32"/>
          <w:highlight w:val="none"/>
          <w:shd w:val="clear"/>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shd w:val="clear"/>
        <w:tabs>
          <w:tab w:val="left" w:pos="3388"/>
        </w:tabs>
        <w:spacing w:line="560" w:lineRule="exact"/>
        <w:ind w:firstLine="640" w:firstLineChars="200"/>
        <w:jc w:val="left"/>
        <w:rPr>
          <w:highlight w:val="none"/>
        </w:rPr>
      </w:pPr>
      <w:r>
        <w:rPr>
          <w:rFonts w:hint="eastAsia" w:ascii="仿宋_GB2312" w:hAnsi="仿宋_GB2312" w:eastAsia="仿宋_GB2312" w:cs="仿宋_GB2312"/>
          <w:sz w:val="32"/>
          <w:szCs w:val="32"/>
          <w:highlight w:val="none"/>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shd w:val="clear"/>
        <w:tabs>
          <w:tab w:val="left" w:pos="3388"/>
        </w:tabs>
        <w:spacing w:line="560" w:lineRule="exact"/>
        <w:ind w:firstLine="640" w:firstLineChars="200"/>
        <w:jc w:val="left"/>
        <w:rPr>
          <w:rFonts w:hint="eastAsia"/>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中信银行股份有限公司惠州分行。(备注:中信银行股份有限公司惠州分行本行</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网上报价规则</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2、网上挂牌交易</w:t>
      </w:r>
      <w:r>
        <w:rPr>
          <w:rFonts w:hint="eastAsia" w:ascii="仿宋_GB2312" w:hAnsi="仿宋_GB2312" w:eastAsia="仿宋_GB2312" w:cs="仿宋_GB2312"/>
          <w:sz w:val="32"/>
          <w:szCs w:val="32"/>
          <w:highlight w:val="none"/>
          <w:lang w:val="en-US" w:eastAsia="zh-CN"/>
        </w:rPr>
        <w:t>期限截止时，无人报价的，挂牌不成交</w:t>
      </w:r>
      <w:r>
        <w:rPr>
          <w:rFonts w:hint="eastAsia" w:ascii="仿宋_GB2312" w:hAnsi="仿宋_GB2312" w:eastAsia="仿宋_GB2312" w:cs="仿宋_GB2312"/>
          <w:sz w:val="32"/>
          <w:szCs w:val="32"/>
          <w:highlight w:val="none"/>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3、网上挂牌交易</w:t>
      </w:r>
      <w:r>
        <w:rPr>
          <w:rFonts w:hint="eastAsia" w:ascii="仿宋_GB2312" w:hAnsi="仿宋_GB2312" w:eastAsia="仿宋_GB2312" w:cs="仿宋_GB2312"/>
          <w:sz w:val="32"/>
          <w:szCs w:val="32"/>
          <w:highlight w:val="none"/>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lang w:val="en-US" w:eastAsia="zh-CN"/>
        </w:rPr>
      </w:pPr>
      <w:r>
        <w:rPr>
          <w:rFonts w:hint="eastAsia" w:ascii="仿宋_GB2312" w:hAnsi="仿宋_GB2312" w:eastAsia="仿宋_GB2312" w:cs="仿宋_GB2312"/>
          <w:sz w:val="32"/>
          <w:szCs w:val="32"/>
          <w:highlight w:val="none"/>
        </w:rPr>
        <w:t xml:space="preserve">     网上限时竞价中无人报价的，以网上挂牌截止时出价最高</w:t>
      </w:r>
      <w:r>
        <w:rPr>
          <w:rFonts w:hint="eastAsia" w:ascii="仿宋_GB2312" w:hAnsi="仿宋_GB2312" w:eastAsia="仿宋_GB2312" w:cs="仿宋_GB2312"/>
          <w:sz w:val="32"/>
          <w:szCs w:val="32"/>
          <w:highlight w:val="none"/>
          <w:lang w:val="en-US" w:eastAsia="zh-CN"/>
        </w:rPr>
        <w:t>且报价不低于起始价者</w:t>
      </w:r>
      <w:r>
        <w:rPr>
          <w:rFonts w:hint="eastAsia" w:ascii="仿宋_GB2312" w:hAnsi="仿宋_GB2312" w:eastAsia="仿宋_GB2312" w:cs="仿宋_GB2312"/>
          <w:sz w:val="32"/>
          <w:szCs w:val="32"/>
          <w:highlight w:val="none"/>
        </w:rPr>
        <w:t>为竞得人。</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经网上挂牌交易系统询问完毕后，没有竞买人表示愿意继续竞价的，</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网上挂牌交易</w:t>
      </w:r>
      <w:r>
        <w:rPr>
          <w:rFonts w:hint="eastAsia" w:ascii="仿宋_GB2312" w:hAnsi="仿宋_GB2312" w:eastAsia="仿宋_GB2312" w:cs="仿宋_GB2312"/>
          <w:sz w:val="32"/>
          <w:szCs w:val="32"/>
          <w:highlight w:val="none"/>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2、竞得人应当在网上挂牌交易结果公布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个工作日内持公司公章及下列有关纸质材料到本中心进行</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转账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《惠城区工业项目</w:t>
      </w:r>
      <w:r>
        <w:rPr>
          <w:rFonts w:hint="eastAsia" w:ascii="仿宋_GB2312" w:hAnsi="宋体" w:eastAsia="仿宋_GB2312" w:cs="宋体"/>
          <w:color w:val="auto"/>
          <w:kern w:val="0"/>
          <w:sz w:val="32"/>
          <w:szCs w:val="32"/>
          <w:highlight w:val="none"/>
          <w:lang w:val="en-US" w:eastAsia="zh-CN"/>
        </w:rPr>
        <w:t>实施</w:t>
      </w:r>
      <w:r>
        <w:rPr>
          <w:rFonts w:hint="eastAsia" w:ascii="仿宋_GB2312" w:hAnsi="宋体" w:eastAsia="仿宋_GB2312" w:cs="宋体"/>
          <w:color w:val="auto"/>
          <w:kern w:val="0"/>
          <w:sz w:val="32"/>
          <w:szCs w:val="32"/>
          <w:highlight w:val="none"/>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宋体" w:eastAsia="仿宋_GB2312" w:cs="宋体"/>
          <w:color w:val="auto"/>
          <w:kern w:val="0"/>
          <w:sz w:val="32"/>
          <w:szCs w:val="32"/>
          <w:highlight w:val="none"/>
        </w:rPr>
        <w:t>须提交惠城区发改局出具的与该宗地块规划确定的产业类型一致的优先发展产业项目文件。</w:t>
      </w:r>
    </w:p>
    <w:p>
      <w:pPr>
        <w:pStyle w:val="2"/>
        <w:shd w:val="clear"/>
        <w:ind w:left="0" w:leftChars="0" w:firstLine="640" w:firstLineChars="200"/>
        <w:rPr>
          <w:rFonts w:hint="eastAsia"/>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3、经审查，符合</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b w:val="0"/>
          <w:bCs w:val="0"/>
          <w:sz w:val="32"/>
          <w:szCs w:val="32"/>
          <w:highlight w:val="none"/>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color w:val="auto"/>
          <w:kern w:val="0"/>
          <w:sz w:val="32"/>
          <w:szCs w:val="32"/>
          <w:highlight w:val="none"/>
        </w:rPr>
        <w:t>即新公司的股东必须100%是竞买申请企业作为法人的股东</w:t>
      </w:r>
      <w:r>
        <w:rPr>
          <w:rFonts w:hint="eastAsia" w:ascii="仿宋_GB2312" w:hAnsi="仿宋_GB2312" w:eastAsia="仿宋_GB2312" w:cs="仿宋_GB2312"/>
          <w:sz w:val="32"/>
          <w:szCs w:val="32"/>
          <w:highlight w:val="none"/>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shd w:val="clear"/>
        <w:tabs>
          <w:tab w:val="left" w:pos="3388"/>
        </w:tabs>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未竞得人缴纳的竞买保证金将于电子挂牌交易活动结束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color w:val="000000"/>
          <w:sz w:val="32"/>
          <w:szCs w:val="32"/>
          <w:highlight w:val="none"/>
        </w:rPr>
        <w:t>《保证金到账通知书》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shd w:val="clear"/>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hd w:val="clear"/>
        <w:spacing w:line="560" w:lineRule="exact"/>
        <w:rPr>
          <w:rFonts w:ascii="仿宋_GB2312" w:eastAsia="仿宋_GB2312"/>
          <w:highlight w:val="none"/>
        </w:rPr>
      </w:pPr>
      <w:r>
        <w:rPr>
          <w:rFonts w:hint="eastAsia" w:ascii="仿宋_GB2312" w:hAnsi="仿宋_GB2312" w:eastAsia="仿宋_GB2312" w:cs="仿宋_GB2312"/>
          <w:sz w:val="32"/>
          <w:szCs w:val="32"/>
          <w:highlight w:val="none"/>
        </w:rPr>
        <w:t xml:space="preserve">    </w:t>
      </w:r>
      <w:r>
        <w:rPr>
          <w:rFonts w:hint="eastAsia" w:ascii="仿宋_GB2312" w:eastAsia="仿宋_GB2312"/>
          <w:sz w:val="32"/>
          <w:szCs w:val="32"/>
          <w:highlight w:val="none"/>
        </w:rPr>
        <w:t>6、</w:t>
      </w:r>
      <w:r>
        <w:rPr>
          <w:rFonts w:hint="eastAsia" w:ascii="仿宋_GB2312" w:eastAsia="仿宋_GB2312"/>
          <w:sz w:val="32"/>
          <w:szCs w:val="32"/>
          <w:highlight w:val="none"/>
          <w:lang w:val="en-US" w:eastAsia="zh-CN"/>
        </w:rPr>
        <w:t>惠州</w:t>
      </w:r>
      <w:r>
        <w:rPr>
          <w:rFonts w:hint="eastAsia" w:ascii="仿宋_GB2312" w:eastAsia="仿宋_GB2312"/>
          <w:sz w:val="32"/>
          <w:szCs w:val="32"/>
          <w:highlight w:val="none"/>
        </w:rPr>
        <w:t>市</w:t>
      </w:r>
      <w:r>
        <w:rPr>
          <w:rFonts w:hint="eastAsia" w:ascii="仿宋_GB2312" w:eastAsia="仿宋_GB2312"/>
          <w:sz w:val="32"/>
          <w:szCs w:val="32"/>
          <w:highlight w:val="none"/>
          <w:lang w:val="en-US" w:eastAsia="zh-CN"/>
        </w:rPr>
        <w:t>惠城区</w:t>
      </w:r>
      <w:r>
        <w:rPr>
          <w:rFonts w:hint="eastAsia" w:ascii="仿宋_GB2312" w:eastAsia="仿宋_GB2312"/>
          <w:sz w:val="32"/>
          <w:szCs w:val="32"/>
          <w:highlight w:val="none"/>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eastAsia="仿宋_GB2312"/>
          <w:sz w:val="32"/>
          <w:szCs w:val="32"/>
          <w:highlight w:val="none"/>
        </w:rPr>
        <w:t>（十）</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pStyle w:val="2"/>
        <w:shd w:val="clear"/>
        <w:rPr>
          <w:highlight w:val="none"/>
        </w:rPr>
      </w:pPr>
    </w:p>
    <w:p>
      <w:pPr>
        <w:pStyle w:val="2"/>
        <w:shd w:val="clear"/>
        <w:rPr>
          <w:highlight w:val="none"/>
        </w:rPr>
      </w:pPr>
    </w:p>
    <w:p>
      <w:pPr>
        <w:shd w:val="clear"/>
        <w:tabs>
          <w:tab w:val="left" w:pos="3388"/>
        </w:tabs>
        <w:ind w:firstLine="4640" w:firstLineChars="14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shd w:val="clear"/>
        <w:tabs>
          <w:tab w:val="left" w:pos="3388"/>
        </w:tabs>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2021年8月18</w:t>
      </w:r>
      <w:bookmarkStart w:id="8" w:name="_GoBack"/>
      <w:bookmarkEnd w:id="8"/>
      <w:r>
        <w:rPr>
          <w:rFonts w:hint="eastAsia" w:ascii="仿宋_GB2312" w:hAnsi="仿宋_GB2312" w:eastAsia="仿宋_GB2312" w:cs="仿宋_GB2312"/>
          <w:color w:val="auto"/>
          <w:sz w:val="32"/>
          <w:szCs w:val="32"/>
          <w:highlight w:val="none"/>
          <w:lang w:val="en-US" w:eastAsia="zh-CN"/>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4BB1"/>
    <w:multiLevelType w:val="singleLevel"/>
    <w:tmpl w:val="F8BE4BB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812477"/>
    <w:rsid w:val="0B1406EF"/>
    <w:rsid w:val="0C40433F"/>
    <w:rsid w:val="0C8642BF"/>
    <w:rsid w:val="0DCB3B54"/>
    <w:rsid w:val="0FB217AF"/>
    <w:rsid w:val="0FB2799E"/>
    <w:rsid w:val="10152918"/>
    <w:rsid w:val="105A2768"/>
    <w:rsid w:val="10A1573B"/>
    <w:rsid w:val="10B43BC1"/>
    <w:rsid w:val="111E117E"/>
    <w:rsid w:val="11A17A14"/>
    <w:rsid w:val="12295A9F"/>
    <w:rsid w:val="14924D3E"/>
    <w:rsid w:val="15BB632B"/>
    <w:rsid w:val="15C4392F"/>
    <w:rsid w:val="15D340EA"/>
    <w:rsid w:val="16615977"/>
    <w:rsid w:val="168C318D"/>
    <w:rsid w:val="16AE6DA7"/>
    <w:rsid w:val="170F4C1C"/>
    <w:rsid w:val="174F54E7"/>
    <w:rsid w:val="18220C10"/>
    <w:rsid w:val="1960257D"/>
    <w:rsid w:val="19D941D6"/>
    <w:rsid w:val="1CB6407B"/>
    <w:rsid w:val="1DE56E00"/>
    <w:rsid w:val="1E4A3E3B"/>
    <w:rsid w:val="1ED73189"/>
    <w:rsid w:val="1F1E4268"/>
    <w:rsid w:val="20855E22"/>
    <w:rsid w:val="21587C67"/>
    <w:rsid w:val="22463965"/>
    <w:rsid w:val="2249566B"/>
    <w:rsid w:val="22661D8C"/>
    <w:rsid w:val="22DC01FC"/>
    <w:rsid w:val="23141DA3"/>
    <w:rsid w:val="247C6354"/>
    <w:rsid w:val="259D34B7"/>
    <w:rsid w:val="25D63F7C"/>
    <w:rsid w:val="26391FD0"/>
    <w:rsid w:val="26741665"/>
    <w:rsid w:val="272C05B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3CE0AAA"/>
    <w:rsid w:val="34B40523"/>
    <w:rsid w:val="34C41D04"/>
    <w:rsid w:val="34CD617E"/>
    <w:rsid w:val="360B04FE"/>
    <w:rsid w:val="370B6C13"/>
    <w:rsid w:val="378C6660"/>
    <w:rsid w:val="37FB7A76"/>
    <w:rsid w:val="38DE5E51"/>
    <w:rsid w:val="390E539D"/>
    <w:rsid w:val="3C4A4143"/>
    <w:rsid w:val="3C5E598F"/>
    <w:rsid w:val="3C8F0E4F"/>
    <w:rsid w:val="3CAD2EC5"/>
    <w:rsid w:val="3CB81CC8"/>
    <w:rsid w:val="3D322E34"/>
    <w:rsid w:val="3D34683B"/>
    <w:rsid w:val="3D5E1016"/>
    <w:rsid w:val="3FB91BA4"/>
    <w:rsid w:val="3FC22752"/>
    <w:rsid w:val="409035AB"/>
    <w:rsid w:val="418879B1"/>
    <w:rsid w:val="421630A4"/>
    <w:rsid w:val="432B1A76"/>
    <w:rsid w:val="43E840B4"/>
    <w:rsid w:val="43EC1655"/>
    <w:rsid w:val="440C4340"/>
    <w:rsid w:val="4442558E"/>
    <w:rsid w:val="44811DC9"/>
    <w:rsid w:val="450E3C66"/>
    <w:rsid w:val="454309A1"/>
    <w:rsid w:val="458C06A8"/>
    <w:rsid w:val="459403CB"/>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B8E3054"/>
    <w:rsid w:val="5C943765"/>
    <w:rsid w:val="5CAD3E88"/>
    <w:rsid w:val="5D006096"/>
    <w:rsid w:val="5D731ABE"/>
    <w:rsid w:val="5DB15592"/>
    <w:rsid w:val="5DF81F1B"/>
    <w:rsid w:val="5DFB50B1"/>
    <w:rsid w:val="600D408B"/>
    <w:rsid w:val="610A5EBF"/>
    <w:rsid w:val="61245A3C"/>
    <w:rsid w:val="6178185B"/>
    <w:rsid w:val="617F00E3"/>
    <w:rsid w:val="61C04C47"/>
    <w:rsid w:val="61C170AA"/>
    <w:rsid w:val="626D5569"/>
    <w:rsid w:val="62D03E81"/>
    <w:rsid w:val="62D41879"/>
    <w:rsid w:val="6398078D"/>
    <w:rsid w:val="648A18F5"/>
    <w:rsid w:val="64C30585"/>
    <w:rsid w:val="651C53A6"/>
    <w:rsid w:val="656B5E9D"/>
    <w:rsid w:val="659D6FA9"/>
    <w:rsid w:val="65F2007E"/>
    <w:rsid w:val="66315E92"/>
    <w:rsid w:val="66C13377"/>
    <w:rsid w:val="68085778"/>
    <w:rsid w:val="688B43B5"/>
    <w:rsid w:val="69B07B1E"/>
    <w:rsid w:val="69E22ED5"/>
    <w:rsid w:val="6A15326A"/>
    <w:rsid w:val="6AA821A5"/>
    <w:rsid w:val="6B8A6BF3"/>
    <w:rsid w:val="6BFA1460"/>
    <w:rsid w:val="6C013F77"/>
    <w:rsid w:val="6C181FB4"/>
    <w:rsid w:val="6C197CDD"/>
    <w:rsid w:val="6C5A6DDE"/>
    <w:rsid w:val="6C611252"/>
    <w:rsid w:val="6CCC1A8E"/>
    <w:rsid w:val="6FCE2720"/>
    <w:rsid w:val="6FE52A91"/>
    <w:rsid w:val="705B684C"/>
    <w:rsid w:val="714F5518"/>
    <w:rsid w:val="71AB46C8"/>
    <w:rsid w:val="74CC0B4E"/>
    <w:rsid w:val="74D35F13"/>
    <w:rsid w:val="755C76C8"/>
    <w:rsid w:val="75E43E25"/>
    <w:rsid w:val="76382CBE"/>
    <w:rsid w:val="76B47A3E"/>
    <w:rsid w:val="77A91566"/>
    <w:rsid w:val="77E167B8"/>
    <w:rsid w:val="78591F3E"/>
    <w:rsid w:val="78CA1EAE"/>
    <w:rsid w:val="792409A3"/>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9</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2021-07-13T01:07:00Z</cp:lastPrinted>
  <dcterms:modified xsi:type="dcterms:W3CDTF">2021-08-19T01:41:42Z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