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027</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上述地块挂牌出让</w:t>
      </w:r>
      <w:r>
        <w:rPr>
          <w:rFonts w:hint="eastAsia" w:ascii="仿宋_GB2312" w:hAnsi="仿宋_GB2312" w:eastAsia="仿宋_GB2312" w:cs="仿宋_GB2312"/>
          <w:sz w:val="32"/>
          <w:szCs w:val="32"/>
        </w:rPr>
        <w:t>起始价为人民币</w:t>
      </w:r>
      <w:r>
        <w:rPr>
          <w:rFonts w:hint="eastAsia" w:ascii="仿宋_GB2312" w:hAnsi="仿宋_GB2312" w:eastAsia="仿宋_GB2312" w:cs="仿宋_GB2312"/>
          <w:color w:val="auto"/>
          <w:kern w:val="0"/>
          <w:sz w:val="32"/>
          <w:szCs w:val="32"/>
          <w:lang w:val="en-US" w:eastAsia="zh-CN"/>
        </w:rPr>
        <w:t>1250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hAnsi="仿宋_GB2312" w:cs="仿宋_GB2312"/>
          <w:szCs w:val="32"/>
          <w:lang w:eastAsia="zh-CN"/>
        </w:rPr>
        <w:t>，</w:t>
      </w:r>
      <w:r>
        <w:rPr>
          <w:rFonts w:hint="eastAsia" w:ascii="仿宋_GB2312" w:hAnsi="宋体" w:eastAsia="仿宋_GB2312" w:cs="宋体"/>
          <w:color w:val="auto"/>
          <w:kern w:val="0"/>
          <w:sz w:val="32"/>
          <w:szCs w:val="32"/>
        </w:rPr>
        <w:t>即新公司的股东必须100%是竞买申请企业作为法人的股东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375</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eastAsia="仿宋_GB2312" w:cs="仿宋_GB2312"/>
          <w:szCs w:val="32"/>
          <w:lang w:eastAsia="zh-CN"/>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w:t>
      </w:r>
      <w:r>
        <w:rPr>
          <w:rFonts w:hint="eastAsia" w:ascii="仿宋_GB2312" w:hAnsi="仿宋_GB2312" w:eastAsia="仿宋_GB2312" w:cs="仿宋_GB2312"/>
          <w:sz w:val="32"/>
          <w:szCs w:val="32"/>
        </w:rPr>
        <w:t>竞买人须</w:t>
      </w:r>
      <w:r>
        <w:rPr>
          <w:rFonts w:hint="eastAsia" w:hAnsi="仿宋_GB2312" w:cs="仿宋_GB2312"/>
          <w:sz w:val="32"/>
          <w:szCs w:val="32"/>
          <w:lang w:val="en-US" w:eastAsia="zh-CN"/>
        </w:rPr>
        <w:t>提交</w:t>
      </w:r>
      <w:r>
        <w:rPr>
          <w:rFonts w:hint="eastAsia" w:ascii="仿宋_GB2312" w:hAnsi="仿宋_GB2312" w:eastAsia="仿宋_GB2312" w:cs="仿宋_GB2312"/>
          <w:sz w:val="32"/>
          <w:szCs w:val="32"/>
        </w:rPr>
        <w:t>惠城区发改局出具的与该宗地块规划确定的产业类型一致的优先发展产业项目文件</w:t>
      </w:r>
      <w:r>
        <w:rPr>
          <w:rFonts w:hint="eastAsia" w:hAnsi="仿宋_GB2312" w:cs="仿宋_GB2312"/>
          <w:sz w:val="32"/>
          <w:szCs w:val="32"/>
          <w:lang w:eastAsia="zh-CN"/>
        </w:rPr>
        <w:t>。</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autoSpaceDE/>
        <w:autoSpaceDN/>
        <w:bidi w:val="0"/>
        <w:spacing w:before="0" w:line="560" w:lineRule="exact"/>
        <w:ind w:left="0" w:leftChars="0" w:firstLine="640" w:firstLineChars="200"/>
        <w:jc w:val="both"/>
        <w:textAlignment w:val="auto"/>
        <w:rPr>
          <w:rFonts w:hint="eastAsia" w:hAnsi="仿宋_GB2312" w:cs="仿宋_GB2312"/>
          <w:szCs w:val="32"/>
          <w:lang w:val="en-US" w:eastAsia="zh-CN"/>
        </w:rPr>
      </w:pPr>
      <w:r>
        <w:rPr>
          <w:rFonts w:hint="eastAsia" w:hAnsi="仿宋_GB2312" w:cs="仿宋_GB2312"/>
          <w:szCs w:val="32"/>
          <w:lang w:val="en-US" w:eastAsia="zh-CN"/>
        </w:rPr>
        <w:t>1、存在伪造公文骗取用地和非法倒卖土地等犯罪行为的；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2、存在非法转让土地使用权等违法行为的；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3、因企业原因造成土地闲置一年以上且至报名日止未处罚完结的；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 5、至报名日止仍拖欠政府地价款的。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10月21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宋体" w:eastAsia="仿宋_GB2312" w:cs="宋体"/>
          <w:color w:val="auto"/>
          <w:kern w:val="0"/>
          <w:sz w:val="32"/>
          <w:szCs w:val="32"/>
          <w:lang w:val="en-US" w:eastAsia="zh-CN"/>
        </w:rPr>
        <w:t>18612</w:t>
      </w:r>
      <w:r>
        <w:rPr>
          <w:rFonts w:hint="eastAsia" w:ascii="仿宋_GB2312" w:hAnsi="仿宋_GB2312" w:eastAsia="仿宋_GB2312" w:cs="仿宋_GB2312"/>
          <w:sz w:val="32"/>
          <w:szCs w:val="32"/>
        </w:rPr>
        <w:t>万元（含地价）。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2"/>
          <w:sz w:val="32"/>
          <w:szCs w:val="32"/>
          <w:lang w:val="en-US" w:eastAsia="zh-CN" w:bidi="ar-SA"/>
        </w:rPr>
        <w:t>竞得人在用地红线内开发建设必须符合城市规划要求，必须按《</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》（案卷编号：PB20210007）</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sz w:val="32"/>
          <w:szCs w:val="32"/>
        </w:rPr>
        <w:t>项目规划建设方案</w:t>
      </w:r>
    </w:p>
    <w:p>
      <w:pPr>
        <w:pageBreakBefore w:val="0"/>
        <w:widowControl/>
        <w:kinsoku/>
        <w:wordWrap/>
        <w:overflowPunct/>
        <w:topLinePunct w:val="0"/>
        <w:autoSpaceDE/>
        <w:autoSpaceDN/>
        <w:bidi w:val="0"/>
        <w:adjustRightInd/>
        <w:snapToGrid/>
        <w:spacing w:line="520" w:lineRule="exact"/>
        <w:ind w:firstLine="641"/>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所报总平面图的主要技术经济指标：规划布局2栋厂房和1栋宿舍。</w:t>
      </w:r>
      <w:r>
        <w:rPr>
          <w:rFonts w:hint="eastAsia" w:ascii="仿宋_GB2312" w:hAnsi="宋体" w:eastAsia="仿宋_GB2312" w:cs="宋体"/>
          <w:kern w:val="0"/>
          <w:sz w:val="32"/>
          <w:szCs w:val="32"/>
          <w:lang w:eastAsia="zh-CN"/>
        </w:rPr>
        <w:t>计算指标用地面积为12408平方米，容积率3.5，建筑密度35%（配套设施用地面积占比6.06%），绿地率15%，计容积率建筑面积43428平方米（配套设施计容面积占19.18%），总建筑面积48700.4平方米，地下建筑面积5272.4平方米（应建防空地下室751.57平方米），机动停车位154个（地下130、地上24）。各项指标符合《</w:t>
      </w:r>
      <w:r>
        <w:rPr>
          <w:rFonts w:hint="eastAsia" w:ascii="仿宋_GB2312" w:hAnsi="仿宋_GB2312" w:eastAsia="仿宋_GB2312" w:cs="仿宋_GB2312"/>
          <w:sz w:val="32"/>
          <w:szCs w:val="32"/>
          <w:lang w:val="en-US" w:eastAsia="zh-CN"/>
        </w:rPr>
        <w:t>建设用地规划设计条件</w:t>
      </w:r>
      <w:r>
        <w:rPr>
          <w:rFonts w:hint="eastAsia" w:ascii="仿宋_GB2312" w:hAnsi="宋体" w:eastAsia="仿宋_GB2312" w:cs="宋体"/>
          <w:kern w:val="0"/>
          <w:sz w:val="32"/>
          <w:szCs w:val="32"/>
          <w:lang w:eastAsia="zh-CN"/>
        </w:rPr>
        <w:t>》(案卷号：PB20210007)要求，</w:t>
      </w:r>
      <w:r>
        <w:rPr>
          <w:rFonts w:hint="eastAsia" w:ascii="仿宋_GB2312" w:hAnsi="仿宋_GB2312" w:eastAsia="仿宋_GB2312" w:cs="仿宋_GB2312"/>
          <w:sz w:val="32"/>
          <w:szCs w:val="32"/>
          <w:lang w:val="en-US" w:eastAsia="zh-CN"/>
        </w:rPr>
        <w:t>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r>
        <w:rPr>
          <w:rFonts w:hint="eastAsia" w:ascii="仿宋_GB2312"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（五）招商条件</w:t>
      </w:r>
    </w:p>
    <w:p>
      <w:pPr>
        <w:pageBreakBefore w:val="0"/>
        <w:widowControl/>
        <w:kinsoku/>
        <w:wordWrap/>
        <w:overflowPunct/>
        <w:topLinePunct w:val="0"/>
        <w:autoSpaceDE/>
        <w:autoSpaceDN/>
        <w:bidi w:val="0"/>
        <w:adjustRightInd/>
        <w:snapToGrid/>
        <w:spacing w:line="520" w:lineRule="exact"/>
        <w:ind w:firstLine="64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投资强度不低于</w:t>
      </w:r>
      <w:r>
        <w:rPr>
          <w:rFonts w:hint="eastAsia" w:ascii="仿宋_GB2312" w:hAnsi="宋体" w:eastAsia="仿宋_GB2312" w:cs="宋体"/>
          <w:kern w:val="0"/>
          <w:sz w:val="32"/>
          <w:szCs w:val="32"/>
          <w:lang w:val="en-US" w:eastAsia="zh-CN"/>
        </w:rPr>
        <w:t>15000元</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平方米</w:t>
      </w:r>
      <w:r>
        <w:rPr>
          <w:rFonts w:hint="eastAsia" w:ascii="仿宋_GB2312" w:hAnsi="宋体" w:eastAsia="仿宋_GB2312" w:cs="宋体"/>
          <w:kern w:val="0"/>
          <w:sz w:val="32"/>
          <w:szCs w:val="32"/>
        </w:rPr>
        <w:t>，土地产出率（营业收入）不低于</w:t>
      </w:r>
      <w:r>
        <w:rPr>
          <w:rFonts w:hint="eastAsia" w:ascii="仿宋_GB2312" w:hAnsi="宋体" w:eastAsia="仿宋_GB2312" w:cs="宋体"/>
          <w:kern w:val="0"/>
          <w:sz w:val="32"/>
          <w:szCs w:val="32"/>
          <w:lang w:val="en-US" w:eastAsia="zh-CN"/>
        </w:rPr>
        <w:t>19230</w:t>
      </w:r>
      <w:r>
        <w:rPr>
          <w:rFonts w:hint="eastAsia" w:ascii="仿宋_GB2312" w:hAnsi="宋体" w:eastAsia="仿宋_GB2312" w:cs="宋体"/>
          <w:kern w:val="0"/>
          <w:sz w:val="32"/>
          <w:szCs w:val="32"/>
        </w:rPr>
        <w:t>元/</w:t>
      </w:r>
      <w:r>
        <w:rPr>
          <w:rFonts w:hint="eastAsia" w:ascii="仿宋_GB2312" w:hAnsi="宋体" w:eastAsia="仿宋_GB2312" w:cs="宋体"/>
          <w:kern w:val="0"/>
          <w:sz w:val="32"/>
          <w:szCs w:val="32"/>
          <w:lang w:eastAsia="zh-CN"/>
        </w:rPr>
        <w:t>平方米</w:t>
      </w:r>
      <w:r>
        <w:rPr>
          <w:rFonts w:hint="eastAsia" w:ascii="仿宋_GB2312" w:hAnsi="宋体" w:eastAsia="仿宋_GB2312" w:cs="宋体"/>
          <w:kern w:val="0"/>
          <w:sz w:val="32"/>
          <w:szCs w:val="32"/>
        </w:rPr>
        <w:t>/年，税收产出不低于</w:t>
      </w:r>
      <w:r>
        <w:rPr>
          <w:rFonts w:hint="eastAsia" w:ascii="仿宋_GB2312" w:hAnsi="宋体" w:eastAsia="仿宋_GB2312" w:cs="宋体"/>
          <w:kern w:val="0"/>
          <w:sz w:val="32"/>
          <w:szCs w:val="32"/>
          <w:lang w:val="en-US" w:eastAsia="zh-CN"/>
        </w:rPr>
        <w:t>1150</w:t>
      </w:r>
      <w:r>
        <w:rPr>
          <w:rFonts w:hint="eastAsia" w:ascii="仿宋_GB2312" w:hAnsi="宋体" w:eastAsia="仿宋_GB2312" w:cs="宋体"/>
          <w:kern w:val="0"/>
          <w:sz w:val="32"/>
          <w:szCs w:val="32"/>
          <w:lang w:eastAsia="zh-CN"/>
        </w:rPr>
        <w:t>元</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平方米</w:t>
      </w:r>
      <w:r>
        <w:rPr>
          <w:rFonts w:hint="eastAsia" w:ascii="仿宋_GB2312" w:hAnsi="宋体" w:eastAsia="仿宋_GB2312" w:cs="宋体"/>
          <w:kern w:val="0"/>
          <w:sz w:val="32"/>
          <w:szCs w:val="32"/>
        </w:rPr>
        <w:t>/年。其中，土地产出率及税收产出</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在项目投产后</w:t>
      </w:r>
      <w:r>
        <w:rPr>
          <w:rFonts w:hint="eastAsia" w:ascii="仿宋_GB2312" w:hAnsi="宋体" w:eastAsia="仿宋_GB2312" w:cs="宋体"/>
          <w:kern w:val="0"/>
          <w:sz w:val="32"/>
          <w:szCs w:val="32"/>
          <w:lang w:val="en-US" w:eastAsia="zh-CN"/>
        </w:rPr>
        <w:t>3年内逐年</w:t>
      </w:r>
      <w:r>
        <w:rPr>
          <w:rFonts w:hint="eastAsia" w:ascii="仿宋_GB2312" w:hAnsi="宋体" w:eastAsia="仿宋_GB2312" w:cs="宋体"/>
          <w:kern w:val="0"/>
          <w:sz w:val="32"/>
          <w:szCs w:val="32"/>
        </w:rPr>
        <w:t>考核，</w:t>
      </w:r>
      <w:r>
        <w:rPr>
          <w:rFonts w:hint="eastAsia" w:ascii="仿宋_GB2312" w:hAnsi="宋体" w:eastAsia="仿宋_GB2312" w:cs="宋体"/>
          <w:kern w:val="0"/>
          <w:sz w:val="32"/>
          <w:szCs w:val="32"/>
          <w:lang w:val="en-US" w:eastAsia="zh-CN"/>
        </w:rPr>
        <w:t>3年内的</w:t>
      </w:r>
      <w:r>
        <w:rPr>
          <w:rFonts w:hint="eastAsia" w:ascii="仿宋_GB2312" w:hAnsi="宋体" w:eastAsia="仿宋_GB2312" w:cs="宋体"/>
          <w:kern w:val="0"/>
          <w:sz w:val="32"/>
          <w:szCs w:val="32"/>
        </w:rPr>
        <w:t>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宋体" w:eastAsia="仿宋_GB2312" w:cs="宋体"/>
          <w:kern w:val="0"/>
          <w:sz w:val="32"/>
          <w:szCs w:val="32"/>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w:t>
      </w:r>
      <w:r>
        <w:rPr>
          <w:rFonts w:hint="eastAsia" w:ascii="仿宋_GB2312" w:hAnsi="宋体" w:eastAsia="仿宋_GB2312" w:cs="宋体"/>
          <w:color w:val="auto"/>
          <w:kern w:val="0"/>
          <w:sz w:val="32"/>
          <w:szCs w:val="32"/>
        </w:rPr>
        <w:t>须</w:t>
      </w:r>
      <w:r>
        <w:rPr>
          <w:rFonts w:hint="eastAsia" w:ascii="仿宋_GB2312" w:hAnsi="宋体" w:eastAsia="仿宋_GB2312" w:cs="宋体"/>
          <w:color w:val="auto"/>
          <w:kern w:val="0"/>
          <w:sz w:val="32"/>
          <w:szCs w:val="32"/>
          <w:lang w:val="en-US" w:eastAsia="zh-CN"/>
        </w:rPr>
        <w:t>向自然资源部门申请，经</w:t>
      </w:r>
      <w:r>
        <w:rPr>
          <w:rFonts w:hint="eastAsia" w:ascii="仿宋_GB2312" w:hAnsi="宋体" w:eastAsia="仿宋_GB2312" w:cs="宋体"/>
          <w:color w:val="auto"/>
          <w:kern w:val="0"/>
          <w:sz w:val="32"/>
          <w:szCs w:val="32"/>
        </w:rPr>
        <w:t>惠城区人民政府</w:t>
      </w:r>
      <w:r>
        <w:rPr>
          <w:rFonts w:hint="eastAsia" w:ascii="仿宋_GB2312" w:hAnsi="宋体" w:eastAsia="仿宋_GB2312" w:cs="宋体"/>
          <w:color w:val="auto"/>
          <w:kern w:val="0"/>
          <w:sz w:val="32"/>
          <w:szCs w:val="32"/>
          <w:lang w:val="en-US" w:eastAsia="zh-CN"/>
        </w:rPr>
        <w:t>备案</w:t>
      </w:r>
      <w:r>
        <w:rPr>
          <w:rFonts w:hint="eastAsia" w:ascii="仿宋_GB2312" w:hAnsi="宋体" w:eastAsia="仿宋_GB2312" w:cs="宋体"/>
          <w:color w:val="auto"/>
          <w:kern w:val="0"/>
          <w:sz w:val="32"/>
          <w:szCs w:val="32"/>
        </w:rPr>
        <w:t>同意，</w:t>
      </w:r>
      <w:r>
        <w:rPr>
          <w:rFonts w:hint="eastAsia" w:ascii="仿宋_GB2312" w:hAnsi="宋体" w:eastAsia="仿宋_GB2312" w:cs="宋体"/>
          <w:kern w:val="0"/>
          <w:sz w:val="32"/>
          <w:szCs w:val="32"/>
        </w:rPr>
        <w:t>并符合惠城区产业发展方向及项目入区审核标准。本宗地交付乙方后,乙方须向</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宋体" w:eastAsia="仿宋_GB2312" w:cs="宋体"/>
          <w:kern w:val="0"/>
          <w:sz w:val="32"/>
          <w:szCs w:val="32"/>
        </w:rPr>
        <w:t>提交项目投资计划书和时间安排表，并按月向</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宋体" w:eastAsia="仿宋_GB2312" w:cs="宋体"/>
          <w:kern w:val="0"/>
          <w:sz w:val="32"/>
          <w:szCs w:val="32"/>
        </w:rPr>
        <w:t>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000000"/>
          <w:kern w:val="0"/>
          <w:sz w:val="32"/>
          <w:szCs w:val="32"/>
        </w:rPr>
        <w:t>竞得人需</w:t>
      </w:r>
      <w:r>
        <w:rPr>
          <w:rFonts w:hint="eastAsia" w:ascii="仿宋_GB2312" w:hAnsi="仿宋_GB2312" w:eastAsia="仿宋_GB2312" w:cs="仿宋_GB2312"/>
          <w:b w:val="0"/>
          <w:bCs w:val="0"/>
          <w:color w:val="000000"/>
          <w:kern w:val="0"/>
          <w:sz w:val="32"/>
          <w:szCs w:val="32"/>
          <w:lang w:val="en-US" w:eastAsia="zh-CN"/>
        </w:rPr>
        <w:t>按照供电设计相关规范要求，在地块内</w:t>
      </w:r>
      <w:r>
        <w:rPr>
          <w:rFonts w:hint="eastAsia" w:ascii="仿宋_GB2312" w:hAnsi="仿宋_GB2312" w:eastAsia="仿宋_GB2312" w:cs="仿宋_GB2312"/>
          <w:b w:val="0"/>
          <w:bCs w:val="0"/>
          <w:color w:val="000000"/>
          <w:kern w:val="0"/>
          <w:sz w:val="32"/>
          <w:szCs w:val="32"/>
          <w:lang w:eastAsia="zh-CN"/>
        </w:rPr>
        <w:t>承担建筑面积≥</w:t>
      </w:r>
      <w:r>
        <w:rPr>
          <w:rFonts w:hint="eastAsia" w:ascii="仿宋_GB2312" w:hAnsi="仿宋_GB2312" w:eastAsia="仿宋_GB2312" w:cs="仿宋_GB2312"/>
          <w:b w:val="0"/>
          <w:bCs w:val="0"/>
          <w:color w:val="000000"/>
          <w:kern w:val="0"/>
          <w:sz w:val="32"/>
          <w:szCs w:val="32"/>
          <w:lang w:val="en-US" w:eastAsia="zh-CN"/>
        </w:rPr>
        <w:t>90㎡、建筑单独占地面积≥90㎡的园区供电开关站配套用房建设，建成后无偿移交给惠城区政府相关部门使用</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）竞得人在签订《成交确认书》前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须与</w:t>
      </w:r>
      <w:r>
        <w:rPr>
          <w:rFonts w:hint="eastAsia" w:ascii="仿宋_GB2312" w:hAnsi="仿宋_GB2312" w:eastAsia="仿宋_GB2312" w:cs="仿宋_GB2312"/>
          <w:color w:val="auto"/>
          <w:sz w:val="32"/>
          <w:szCs w:val="32"/>
          <w:lang w:val="en-US" w:eastAsia="zh-CN"/>
        </w:rPr>
        <w:t>惠州市惠城区高新科技产业园管理委员会</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惠城区工业项目实施监管协议书</w:t>
      </w:r>
      <w:r>
        <w:rPr>
          <w:rFonts w:hint="eastAsia" w:ascii="仿宋_GB2312" w:hAnsi="仿宋_GB2312" w:eastAsia="仿宋_GB2312" w:cs="仿宋_GB2312"/>
          <w:color w:val="auto"/>
          <w:sz w:val="32"/>
          <w:szCs w:val="32"/>
        </w:rPr>
        <w:t>》，并由</w:t>
      </w:r>
      <w:r>
        <w:rPr>
          <w:rFonts w:hint="eastAsia" w:ascii="仿宋_GB2312" w:hAnsi="仿宋_GB2312" w:eastAsia="仿宋_GB2312" w:cs="仿宋_GB2312"/>
          <w:b w:val="0"/>
          <w:bCs w:val="0"/>
          <w:color w:val="000000"/>
          <w:kern w:val="0"/>
          <w:sz w:val="32"/>
          <w:szCs w:val="32"/>
          <w:highlight w:val="none"/>
          <w:lang w:val="en-US" w:eastAsia="zh-CN"/>
        </w:rPr>
        <w:t>惠州市惠城区高新科技产业园管理委员会</w:t>
      </w:r>
      <w:r>
        <w:rPr>
          <w:rFonts w:hint="eastAsia" w:ascii="仿宋_GB2312" w:hAnsi="仿宋_GB2312" w:eastAsia="仿宋_GB2312" w:cs="仿宋_GB2312"/>
          <w:color w:val="auto"/>
          <w:sz w:val="32"/>
          <w:szCs w:val="32"/>
        </w:rPr>
        <w:t>对项目用地实施批后监管</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）竞得人有下列行为之一的，视为违约，取消竞得人资格，</w:t>
      </w:r>
      <w:r>
        <w:rPr>
          <w:rFonts w:hint="eastAsia" w:ascii="仿宋_GB2312" w:hAnsi="仿宋_GB2312" w:eastAsia="仿宋_GB2312" w:cs="仿宋_GB2312"/>
          <w:color w:val="auto"/>
          <w:sz w:val="32"/>
          <w:szCs w:val="32"/>
          <w:lang w:val="en-US" w:eastAsia="zh-CN"/>
        </w:rPr>
        <w:t>定金不予退还</w:t>
      </w:r>
      <w:r>
        <w:rPr>
          <w:rFonts w:hint="eastAsia" w:ascii="仿宋_GB2312" w:hAnsi="仿宋_GB2312" w:eastAsia="仿宋_GB2312" w:cs="仿宋_GB2312"/>
          <w:color w:val="auto"/>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tabs>
          <w:tab w:val="right" w:pos="8386"/>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杨小姐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7121026、7121036</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数字证书办理地址：广东省惠州市惠城区三新北路31号市民服务中心3号楼惠州市公共资源交易中心一楼大厅1号土地与矿业交易窗口</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联系电话：0752-7121029</w:t>
      </w:r>
      <w:r>
        <w:rPr>
          <w:rFonts w:hint="eastAsia" w:ascii="仿宋_GB2312" w:hAnsi="仿宋_GB2312" w:eastAsia="仿宋_GB2312" w:cs="仿宋_GB2312"/>
          <w:sz w:val="32"/>
          <w:szCs w:val="32"/>
          <w:highlight w:val="none"/>
          <w:lang w:val="en-US" w:eastAsia="zh-CN"/>
        </w:rPr>
        <w:t>（罗工）</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2021年9月10</w:t>
      </w:r>
      <w:bookmarkStart w:id="0" w:name="_GoBack"/>
      <w:bookmarkEnd w:id="0"/>
      <w:r>
        <w:rPr>
          <w:rFonts w:hint="eastAsia" w:ascii="仿宋_GB2312" w:hAnsi="仿宋_GB2312" w:eastAsia="仿宋_GB2312" w:cs="仿宋_GB2312"/>
          <w:sz w:val="32"/>
          <w:szCs w:val="32"/>
          <w:lang w:val="en-US" w:eastAsia="zh-CN"/>
        </w:rPr>
        <w:t>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lang w:val="en-US" w:eastAsia="zh-CN"/>
              </w:rPr>
              <w:t>地块</w:t>
            </w:r>
            <w:r>
              <w:rPr>
                <w:rFonts w:hint="eastAsia" w:ascii="仿宋_GB2312" w:eastAsia="仿宋_GB2312"/>
                <w:b/>
                <w:bCs/>
                <w:szCs w:val="21"/>
              </w:rPr>
              <w:t>编号</w:t>
            </w:r>
          </w:p>
        </w:tc>
        <w:tc>
          <w:tcPr>
            <w:tcW w:w="57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615" w:type="dxa"/>
            <w:vMerge w:val="continue"/>
            <w:vAlign w:val="center"/>
          </w:tcPr>
          <w:p>
            <w:pPr>
              <w:adjustRightInd w:val="0"/>
              <w:snapToGrid w:val="0"/>
              <w:spacing w:line="320" w:lineRule="exact"/>
              <w:jc w:val="center"/>
              <w:rPr>
                <w:rFonts w:hint="eastAsia" w:ascii="仿宋_GB2312" w:eastAsia="仿宋_GB2312"/>
                <w:b/>
                <w:bCs/>
              </w:rPr>
            </w:pPr>
          </w:p>
        </w:tc>
        <w:tc>
          <w:tcPr>
            <w:tcW w:w="570"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lang w:eastAsia="zh-CN"/>
              </w:rPr>
            </w:pPr>
            <w:r>
              <w:rPr>
                <w:rFonts w:hint="eastAsia" w:eastAsia="仿宋_GB2312"/>
                <w:b/>
                <w:szCs w:val="21"/>
              </w:rPr>
              <w:t>建筑</w:t>
            </w:r>
            <w:r>
              <w:rPr>
                <w:rFonts w:hint="eastAsia" w:eastAsia="仿宋_GB2312"/>
                <w:b/>
                <w:szCs w:val="21"/>
                <w:lang w:val="en-US" w:eastAsia="zh-CN"/>
              </w:rPr>
              <w:t>系数</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GP2021-27</w:t>
            </w:r>
          </w:p>
        </w:tc>
        <w:tc>
          <w:tcPr>
            <w:tcW w:w="69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惠城区马安工业发展集中区（北）MABY-01-28-03号地块</w:t>
            </w:r>
          </w:p>
        </w:tc>
        <w:tc>
          <w:tcPr>
            <w:tcW w:w="615"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MABY-01-28-03</w:t>
            </w:r>
          </w:p>
        </w:tc>
        <w:tc>
          <w:tcPr>
            <w:tcW w:w="570" w:type="dxa"/>
            <w:tcMar>
              <w:left w:w="0" w:type="dxa"/>
              <w:right w:w="0" w:type="dxa"/>
            </w:tcMar>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一类工业用地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11418.</w:t>
            </w:r>
            <w:r>
              <w:rPr>
                <w:rFonts w:hint="default" w:ascii="仿宋_GB2312" w:hAnsi="Times New Roman" w:eastAsia="仿宋_GB2312" w:cs="Times New Roman"/>
                <w:szCs w:val="21"/>
                <w:lang w:val="en-US" w:eastAsia="zh-CN"/>
              </w:rPr>
              <w:t>05</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12408</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≥35</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1.8</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3</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22335-43428</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行政办公及生活服务设施每100平方米计容积率建筑面积≥1个，厂房每100平方米计容积率建筑面积</w:t>
            </w:r>
            <w:r>
              <w:rPr>
                <w:rFonts w:hint="eastAsia" w:ascii="仿宋_GB2312" w:hAnsi="Times New Roman" w:eastAsia="仿宋_GB2312" w:cs="Times New Roman"/>
                <w:szCs w:val="21"/>
                <w:highlight w:val="none"/>
                <w:lang w:val="en-US" w:eastAsia="zh-CN"/>
              </w:rPr>
              <w:t>≥0.3</w:t>
            </w:r>
            <w:r>
              <w:rPr>
                <w:rFonts w:hint="eastAsia" w:ascii="仿宋_GB2312" w:hAnsi="Times New Roman" w:eastAsia="仿宋_GB2312" w:cs="Times New Roman"/>
                <w:szCs w:val="21"/>
                <w:lang w:val="en-US" w:eastAsia="zh-CN"/>
              </w:rPr>
              <w:t>个。停车场须按不低于总停车位的10%的比例配置充电设施。</w:t>
            </w:r>
          </w:p>
        </w:tc>
        <w:tc>
          <w:tcPr>
            <w:tcW w:w="90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电气机械和器材制造业用地</w:t>
            </w:r>
          </w:p>
        </w:tc>
        <w:tc>
          <w:tcPr>
            <w:tcW w:w="67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50年</w:t>
            </w:r>
          </w:p>
          <w:p>
            <w:pPr>
              <w:jc w:val="center"/>
              <w:rPr>
                <w:rFonts w:hint="eastAsia" w:ascii="仿宋_GB2312" w:hAnsi="Times New Roman" w:eastAsia="仿宋_GB2312" w:cs="Times New Roman"/>
                <w:szCs w:val="21"/>
                <w:lang w:val="en-US"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17F36AB"/>
    <w:rsid w:val="02624B0F"/>
    <w:rsid w:val="03043D1C"/>
    <w:rsid w:val="045C3FD8"/>
    <w:rsid w:val="07386886"/>
    <w:rsid w:val="07895069"/>
    <w:rsid w:val="082B1937"/>
    <w:rsid w:val="09F32886"/>
    <w:rsid w:val="0C762EAF"/>
    <w:rsid w:val="0D167AC3"/>
    <w:rsid w:val="0D430223"/>
    <w:rsid w:val="0DF23899"/>
    <w:rsid w:val="0E7A65F6"/>
    <w:rsid w:val="101D3BC2"/>
    <w:rsid w:val="10BD4DFA"/>
    <w:rsid w:val="11BA5FAE"/>
    <w:rsid w:val="129A05F9"/>
    <w:rsid w:val="137618AF"/>
    <w:rsid w:val="13D50F1B"/>
    <w:rsid w:val="161D2710"/>
    <w:rsid w:val="167673A1"/>
    <w:rsid w:val="16AA6FD1"/>
    <w:rsid w:val="16D56AAC"/>
    <w:rsid w:val="17AA0480"/>
    <w:rsid w:val="17E26192"/>
    <w:rsid w:val="188D227F"/>
    <w:rsid w:val="192F711A"/>
    <w:rsid w:val="1A0B2C56"/>
    <w:rsid w:val="1AA5305E"/>
    <w:rsid w:val="1ADB0E54"/>
    <w:rsid w:val="1B58380F"/>
    <w:rsid w:val="1C5904D7"/>
    <w:rsid w:val="1DE30B94"/>
    <w:rsid w:val="1E862B6D"/>
    <w:rsid w:val="1F7C2358"/>
    <w:rsid w:val="1FB07F91"/>
    <w:rsid w:val="1FFD6DA9"/>
    <w:rsid w:val="20C82B61"/>
    <w:rsid w:val="20ED2229"/>
    <w:rsid w:val="22890C8D"/>
    <w:rsid w:val="23A027B1"/>
    <w:rsid w:val="27A65DB8"/>
    <w:rsid w:val="28774868"/>
    <w:rsid w:val="2A6B42FA"/>
    <w:rsid w:val="2A870225"/>
    <w:rsid w:val="2B5D4967"/>
    <w:rsid w:val="2B6B3734"/>
    <w:rsid w:val="2D881864"/>
    <w:rsid w:val="304C7078"/>
    <w:rsid w:val="31CE6D72"/>
    <w:rsid w:val="33861F14"/>
    <w:rsid w:val="34412DD7"/>
    <w:rsid w:val="35335FA2"/>
    <w:rsid w:val="36061489"/>
    <w:rsid w:val="366601E1"/>
    <w:rsid w:val="37607760"/>
    <w:rsid w:val="380440B7"/>
    <w:rsid w:val="381E07C6"/>
    <w:rsid w:val="38BD14D1"/>
    <w:rsid w:val="3B222C10"/>
    <w:rsid w:val="3BCC090A"/>
    <w:rsid w:val="3C13026D"/>
    <w:rsid w:val="3D270295"/>
    <w:rsid w:val="3DDC60B5"/>
    <w:rsid w:val="3E0D02CF"/>
    <w:rsid w:val="40231E47"/>
    <w:rsid w:val="40363F40"/>
    <w:rsid w:val="409256E4"/>
    <w:rsid w:val="40B33D72"/>
    <w:rsid w:val="411B39E1"/>
    <w:rsid w:val="41894F39"/>
    <w:rsid w:val="42CE6157"/>
    <w:rsid w:val="43706132"/>
    <w:rsid w:val="447820DC"/>
    <w:rsid w:val="44966F93"/>
    <w:rsid w:val="45C047BF"/>
    <w:rsid w:val="47A409C1"/>
    <w:rsid w:val="48C16512"/>
    <w:rsid w:val="4A1228DB"/>
    <w:rsid w:val="4A1B1ECC"/>
    <w:rsid w:val="4AE74DD0"/>
    <w:rsid w:val="4C2E14D5"/>
    <w:rsid w:val="4CC552AB"/>
    <w:rsid w:val="4EC91786"/>
    <w:rsid w:val="4F861E18"/>
    <w:rsid w:val="538C505C"/>
    <w:rsid w:val="540106D5"/>
    <w:rsid w:val="546946EF"/>
    <w:rsid w:val="565101CA"/>
    <w:rsid w:val="567F481B"/>
    <w:rsid w:val="578E459E"/>
    <w:rsid w:val="57A3234F"/>
    <w:rsid w:val="57C844D5"/>
    <w:rsid w:val="59400AE8"/>
    <w:rsid w:val="596A13D8"/>
    <w:rsid w:val="5A893EB0"/>
    <w:rsid w:val="5AF873B7"/>
    <w:rsid w:val="5BD95AEB"/>
    <w:rsid w:val="5D241B5A"/>
    <w:rsid w:val="5D471E01"/>
    <w:rsid w:val="5E3B0440"/>
    <w:rsid w:val="606821F3"/>
    <w:rsid w:val="62C8109B"/>
    <w:rsid w:val="64D925C4"/>
    <w:rsid w:val="68527CA2"/>
    <w:rsid w:val="692A6240"/>
    <w:rsid w:val="6E5E4362"/>
    <w:rsid w:val="6EB83079"/>
    <w:rsid w:val="6F4B3B48"/>
    <w:rsid w:val="6FF0551C"/>
    <w:rsid w:val="700A52E4"/>
    <w:rsid w:val="71535A04"/>
    <w:rsid w:val="727D44B4"/>
    <w:rsid w:val="733017D8"/>
    <w:rsid w:val="736D1677"/>
    <w:rsid w:val="73BE7EBD"/>
    <w:rsid w:val="7451643C"/>
    <w:rsid w:val="748840AA"/>
    <w:rsid w:val="761352C3"/>
    <w:rsid w:val="77DD303C"/>
    <w:rsid w:val="782A0826"/>
    <w:rsid w:val="79E82C45"/>
    <w:rsid w:val="7B832F79"/>
    <w:rsid w:val="7CC70D09"/>
    <w:rsid w:val="7D060077"/>
    <w:rsid w:val="7EAF3DC9"/>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杨惠丹</cp:lastModifiedBy>
  <cp:lastPrinted>2021-08-13T01:26:00Z</cp:lastPrinted>
  <dcterms:modified xsi:type="dcterms:W3CDTF">2021-09-10T08:44:03Z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