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1340"/>
        </w:tabs>
        <w:spacing w:line="520" w:lineRule="exact"/>
        <w:rPr>
          <w:rFonts w:hint="eastAsia" w:ascii="方正小标宋_GBK" w:hAnsi="华文中宋" w:eastAsia="方正小标宋_GBK"/>
          <w:b/>
          <w:bCs/>
          <w:spacing w:val="3"/>
          <w:sz w:val="44"/>
          <w:szCs w:val="44"/>
        </w:rPr>
      </w:pPr>
    </w:p>
    <w:p>
      <w:pPr>
        <w:tabs>
          <w:tab w:val="left" w:pos="11340"/>
        </w:tabs>
        <w:spacing w:line="520" w:lineRule="exact"/>
        <w:rPr>
          <w:rFonts w:hint="eastAsia" w:ascii="方正小标宋_GBK" w:hAnsi="华文中宋" w:eastAsia="方正小标宋_GBK"/>
          <w:b/>
          <w:bCs/>
          <w:spacing w:val="3"/>
          <w:sz w:val="44"/>
          <w:szCs w:val="44"/>
        </w:rPr>
      </w:pPr>
    </w:p>
    <w:p>
      <w:pPr>
        <w:tabs>
          <w:tab w:val="left" w:pos="11340"/>
        </w:tabs>
        <w:spacing w:line="520" w:lineRule="exact"/>
        <w:rPr>
          <w:rFonts w:hint="eastAsia" w:ascii="方正小标宋_GBK" w:hAnsi="华文中宋" w:eastAsia="方正小标宋_GBK"/>
          <w:b/>
          <w:bCs/>
          <w:spacing w:val="3"/>
          <w:sz w:val="44"/>
          <w:szCs w:val="44"/>
        </w:rPr>
      </w:pPr>
    </w:p>
    <w:p>
      <w:pPr>
        <w:tabs>
          <w:tab w:val="left" w:pos="11340"/>
        </w:tabs>
        <w:spacing w:line="520" w:lineRule="exact"/>
        <w:rPr>
          <w:rFonts w:hint="eastAsia" w:ascii="方正小标宋_GBK" w:eastAsia="方正小标宋_GBK"/>
          <w:b/>
          <w:bCs/>
          <w:spacing w:val="3"/>
          <w:sz w:val="48"/>
        </w:rPr>
      </w:pPr>
      <w:r>
        <w:rPr>
          <w:rFonts w:hint="eastAsia" w:ascii="方正小标宋_GBK" w:hAnsi="华文中宋" w:eastAsia="方正小标宋_GBK"/>
          <w:b/>
          <w:bCs/>
          <w:spacing w:val="3"/>
          <w:sz w:val="44"/>
          <w:szCs w:val="44"/>
        </w:rPr>
        <w:t>惠州市国有建设用地使用权网上挂牌</w:t>
      </w:r>
      <w:r>
        <w:rPr>
          <w:rFonts w:hint="eastAsia" w:ascii="方正小标宋_GBK" w:hAnsi="华文中宋" w:eastAsia="方正小标宋_GBK"/>
          <w:b/>
          <w:bCs/>
          <w:sz w:val="44"/>
          <w:szCs w:val="44"/>
        </w:rPr>
        <w:t>出让公告</w:t>
      </w:r>
    </w:p>
    <w:p>
      <w:pPr>
        <w:spacing w:line="520" w:lineRule="exact"/>
        <w:ind w:firstLine="640" w:firstLineChars="200"/>
        <w:jc w:val="center"/>
        <w:rPr>
          <w:rFonts w:hint="eastAsia" w:ascii="仿宋_GB2312" w:eastAsia="仿宋_GB2312"/>
          <w:sz w:val="32"/>
          <w:szCs w:val="32"/>
        </w:rPr>
      </w:pPr>
      <w:r>
        <w:rPr>
          <w:rFonts w:hint="eastAsia" w:ascii="仿宋_GB2312" w:eastAsia="仿宋_GB2312"/>
          <w:sz w:val="32"/>
          <w:szCs w:val="32"/>
        </w:rPr>
        <w:t>惠公易土市直[20</w:t>
      </w:r>
      <w:r>
        <w:rPr>
          <w:rFonts w:hint="eastAsia" w:ascii="仿宋_GB2312" w:eastAsia="仿宋_GB2312"/>
          <w:sz w:val="32"/>
          <w:szCs w:val="32"/>
          <w:lang w:val="en-US" w:eastAsia="zh-CN"/>
        </w:rPr>
        <w:t>21</w:t>
      </w:r>
      <w:r>
        <w:rPr>
          <w:rFonts w:hint="eastAsia" w:ascii="仿宋_GB2312" w:eastAsia="仿宋_GB2312"/>
          <w:sz w:val="32"/>
          <w:szCs w:val="32"/>
        </w:rPr>
        <w:t>]</w:t>
      </w:r>
      <w:r>
        <w:rPr>
          <w:rFonts w:hint="eastAsia" w:ascii="仿宋_GB2312" w:eastAsia="仿宋_GB2312"/>
          <w:sz w:val="32"/>
          <w:szCs w:val="32"/>
          <w:lang w:val="en-US" w:eastAsia="zh-CN"/>
        </w:rPr>
        <w:t>023</w:t>
      </w:r>
      <w:r>
        <w:rPr>
          <w:rFonts w:hint="eastAsia" w:ascii="仿宋_GB2312" w:eastAsia="仿宋_GB2312"/>
          <w:sz w:val="32"/>
          <w:szCs w:val="32"/>
        </w:rPr>
        <w:t>号</w:t>
      </w:r>
    </w:p>
    <w:p>
      <w:pPr>
        <w:spacing w:line="520" w:lineRule="exact"/>
        <w:ind w:firstLine="640" w:firstLineChars="200"/>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根据国土资源部令第39号《招标拍卖挂牌出让国有建设用地使用权规定》和广东省人民政府令第79号《广东省土地使用权交易市场管理规定》的规定，经</w:t>
      </w:r>
      <w:r>
        <w:rPr>
          <w:rFonts w:hint="eastAsia" w:ascii="仿宋_GB2312" w:hAnsi="仿宋_GB2312" w:eastAsia="仿宋_GB2312" w:cs="仿宋_GB2312"/>
          <w:sz w:val="32"/>
          <w:szCs w:val="32"/>
          <w:lang w:val="en-US" w:eastAsia="zh-CN"/>
        </w:rPr>
        <w:t>惠城区</w:t>
      </w:r>
      <w:r>
        <w:rPr>
          <w:rFonts w:hint="eastAsia" w:ascii="仿宋_GB2312" w:hAnsi="仿宋_GB2312" w:eastAsia="仿宋_GB2312" w:cs="仿宋_GB2312"/>
          <w:sz w:val="32"/>
          <w:szCs w:val="32"/>
        </w:rPr>
        <w:t>人民政府批准，惠州市</w:t>
      </w:r>
      <w:r>
        <w:rPr>
          <w:rFonts w:hint="eastAsia" w:ascii="仿宋_GB2312" w:hAnsi="仿宋_GB2312" w:eastAsia="仿宋_GB2312" w:cs="仿宋_GB2312"/>
          <w:sz w:val="32"/>
          <w:szCs w:val="32"/>
          <w:lang w:val="en-US" w:eastAsia="zh-CN"/>
        </w:rPr>
        <w:t>惠城区</w:t>
      </w:r>
      <w:r>
        <w:rPr>
          <w:rFonts w:hint="eastAsia" w:ascii="仿宋_GB2312" w:hAnsi="仿宋_GB2312" w:eastAsia="仿宋_GB2312" w:cs="仿宋_GB2312"/>
          <w:sz w:val="32"/>
          <w:szCs w:val="32"/>
        </w:rPr>
        <w:t>自然资源局决定以网上挂牌方式出让下列国有建设用地使用权，本次国有建设用地使用权网上挂牌出让交易具体事务委托惠州市公共资源交易中心办理。现将有关事项公告如下：</w:t>
      </w:r>
    </w:p>
    <w:p>
      <w:pPr>
        <w:keepNext w:val="0"/>
        <w:keepLines w:val="0"/>
        <w:pageBreakBefore w:val="0"/>
        <w:widowControl w:val="0"/>
        <w:kinsoku/>
        <w:wordWrap/>
        <w:overflowPunct/>
        <w:topLinePunct w:val="0"/>
        <w:autoSpaceDE/>
        <w:autoSpaceDN/>
        <w:bidi w:val="0"/>
        <w:spacing w:line="560" w:lineRule="exact"/>
        <w:ind w:firstLine="720" w:firstLineChars="22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一、网上挂牌出让地块基本情况及规划指标要求（见附表）</w:t>
      </w:r>
    </w:p>
    <w:p>
      <w:pPr>
        <w:keepNext w:val="0"/>
        <w:keepLines w:val="0"/>
        <w:pageBreakBefore w:val="0"/>
        <w:widowControl w:val="0"/>
        <w:kinsoku/>
        <w:wordWrap/>
        <w:overflowPunct/>
        <w:topLinePunct w:val="0"/>
        <w:autoSpaceDE/>
        <w:autoSpaceDN/>
        <w:bidi w:val="0"/>
        <w:spacing w:line="560" w:lineRule="exact"/>
        <w:ind w:firstLine="720" w:firstLineChars="22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二、网上挂牌竞买时间为20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31</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时至20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14</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时。</w:t>
      </w:r>
    </w:p>
    <w:p>
      <w:pPr>
        <w:keepNext w:val="0"/>
        <w:keepLines w:val="0"/>
        <w:pageBreakBefore w:val="0"/>
        <w:widowControl w:val="0"/>
        <w:kinsoku/>
        <w:wordWrap/>
        <w:overflowPunct/>
        <w:topLinePunct w:val="0"/>
        <w:autoSpaceDE/>
        <w:autoSpaceDN/>
        <w:bidi w:val="0"/>
        <w:spacing w:line="560" w:lineRule="exact"/>
        <w:ind w:firstLine="720" w:firstLineChars="22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w:t>
      </w:r>
      <w:r>
        <w:rPr>
          <w:rFonts w:hint="eastAsia" w:ascii="仿宋_GB2312" w:hAnsi="仿宋_GB2312" w:eastAsia="仿宋_GB2312" w:cs="仿宋_GB2312"/>
          <w:sz w:val="32"/>
          <w:szCs w:val="32"/>
          <w:lang w:val="en-US" w:eastAsia="zh-CN"/>
        </w:rPr>
        <w:t>上述地块挂牌出让，</w:t>
      </w:r>
      <w:r>
        <w:rPr>
          <w:rFonts w:hint="eastAsia" w:ascii="仿宋_GB2312" w:hAnsi="仿宋_GB2312" w:eastAsia="仿宋_GB2312" w:cs="仿宋_GB2312"/>
          <w:sz w:val="32"/>
          <w:szCs w:val="32"/>
        </w:rPr>
        <w:t>挂牌起始价为人民币</w:t>
      </w:r>
      <w:r>
        <w:rPr>
          <w:rFonts w:hint="eastAsia" w:ascii="仿宋_GB2312" w:hAnsi="仿宋_GB2312" w:eastAsia="仿宋_GB2312" w:cs="仿宋_GB2312"/>
          <w:color w:val="auto"/>
          <w:kern w:val="0"/>
          <w:sz w:val="32"/>
          <w:szCs w:val="32"/>
          <w:lang w:val="en-US" w:eastAsia="zh-CN"/>
        </w:rPr>
        <w:t>9670</w:t>
      </w:r>
      <w:r>
        <w:rPr>
          <w:rFonts w:hint="eastAsia" w:ascii="仿宋_GB2312" w:hAnsi="仿宋_GB2312" w:eastAsia="仿宋_GB2312" w:cs="仿宋_GB2312"/>
          <w:sz w:val="32"/>
          <w:szCs w:val="32"/>
        </w:rPr>
        <w:t>万元,每次报价加价幅度为人民币</w:t>
      </w:r>
      <w:r>
        <w:rPr>
          <w:rFonts w:hint="eastAsia" w:ascii="仿宋_GB2312" w:hAnsi="仿宋_GB2312" w:eastAsia="仿宋_GB2312" w:cs="仿宋_GB2312"/>
          <w:sz w:val="32"/>
          <w:szCs w:val="32"/>
          <w:lang w:val="en-US" w:eastAsia="zh-CN"/>
        </w:rPr>
        <w:t>50</w:t>
      </w:r>
      <w:r>
        <w:rPr>
          <w:rFonts w:hint="eastAsia" w:ascii="仿宋_GB2312" w:hAnsi="仿宋_GB2312" w:eastAsia="仿宋_GB2312" w:cs="仿宋_GB2312"/>
          <w:sz w:val="32"/>
          <w:szCs w:val="32"/>
        </w:rPr>
        <w:t>万元的整数倍。</w:t>
      </w:r>
    </w:p>
    <w:p>
      <w:pPr>
        <w:keepNext w:val="0"/>
        <w:keepLines w:val="0"/>
        <w:pageBreakBefore w:val="0"/>
        <w:widowControl w:val="0"/>
        <w:kinsoku/>
        <w:wordWrap/>
        <w:overflowPunct/>
        <w:topLinePunct w:val="0"/>
        <w:autoSpaceDE/>
        <w:autoSpaceDN/>
        <w:bidi w:val="0"/>
        <w:spacing w:line="560" w:lineRule="exact"/>
        <w:ind w:firstLine="720" w:firstLineChars="22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四、中华人民共和国境内外的法人和其他组织（除法律法规另有规定外）均可申请参加竞买。申请人可以单独申请，也可以联合申请：</w:t>
      </w:r>
    </w:p>
    <w:p>
      <w:pPr>
        <w:pStyle w:val="3"/>
        <w:keepNext w:val="0"/>
        <w:keepLines w:val="0"/>
        <w:pageBreakBefore w:val="0"/>
        <w:widowControl w:val="0"/>
        <w:kinsoku/>
        <w:wordWrap/>
        <w:overflowPunct/>
        <w:topLinePunct w:val="0"/>
        <w:autoSpaceDE/>
        <w:autoSpaceDN/>
        <w:bidi w:val="0"/>
        <w:spacing w:before="0" w:line="560" w:lineRule="exact"/>
        <w:jc w:val="both"/>
        <w:textAlignment w:val="auto"/>
        <w:rPr>
          <w:rFonts w:hint="eastAsia" w:hAnsi="仿宋_GB2312" w:cs="仿宋_GB2312"/>
          <w:szCs w:val="32"/>
        </w:rPr>
      </w:pPr>
      <w:r>
        <w:rPr>
          <w:rFonts w:hint="eastAsia" w:hAnsi="仿宋_GB2312" w:cs="仿宋_GB2312"/>
          <w:szCs w:val="32"/>
        </w:rPr>
        <w:t>（一）单独申请竞买的，竞买申请人为非本市注册登记的企业，在竞得土地后，必须于2个月内在本市工商行政管理部门注册成立项目开发公司，并以该公司名义办理土地出让与登记发证手续。新成立公司必须是竞得人的全资子公司</w:t>
      </w:r>
      <w:r>
        <w:rPr>
          <w:rFonts w:hint="eastAsia" w:ascii="Times New Roman" w:hAnsi="Times New Roman"/>
          <w:lang w:val="en-US" w:eastAsia="zh-CN"/>
        </w:rPr>
        <w:t>（即竞得人必须是新公司的唯一股东）</w:t>
      </w:r>
      <w:r>
        <w:rPr>
          <w:rFonts w:hint="default" w:ascii="Times New Roman" w:hAnsi="Times New Roman"/>
          <w:lang w:val="en-US" w:eastAsia="zh-CN"/>
        </w:rPr>
        <w:t>。</w:t>
      </w:r>
      <w:r>
        <w:rPr>
          <w:rFonts w:hint="eastAsia" w:hAnsi="仿宋_GB2312" w:cs="仿宋_GB2312"/>
          <w:szCs w:val="32"/>
        </w:rPr>
        <w:t>根据挂牌出让结果，可先与竞得人签订《出让合同》，在竞得人按约定办理完新公司注册登记手续后，再与新公司签订《国有建设用地使用权出让合同变更协议》；也可按约定直接与新公司签订《出让合同》。</w:t>
      </w:r>
    </w:p>
    <w:p>
      <w:pPr>
        <w:pStyle w:val="3"/>
        <w:keepNext w:val="0"/>
        <w:keepLines w:val="0"/>
        <w:pageBreakBefore w:val="0"/>
        <w:widowControl w:val="0"/>
        <w:kinsoku/>
        <w:wordWrap/>
        <w:overflowPunct/>
        <w:topLinePunct w:val="0"/>
        <w:autoSpaceDE/>
        <w:autoSpaceDN/>
        <w:bidi w:val="0"/>
        <w:spacing w:line="560" w:lineRule="exact"/>
        <w:jc w:val="both"/>
        <w:textAlignment w:val="auto"/>
        <w:rPr>
          <w:rFonts w:hint="eastAsia" w:hAnsi="仿宋_GB2312" w:cs="仿宋_GB2312"/>
          <w:szCs w:val="32"/>
        </w:rPr>
      </w:pPr>
      <w:r>
        <w:rPr>
          <w:rFonts w:hint="eastAsia" w:hAnsi="仿宋_GB2312" w:cs="仿宋_GB2312"/>
          <w:szCs w:val="32"/>
        </w:rPr>
        <w:t>（二）联合申请竞买的，联合竞买人在提交竞买申请材料时，须提交一份联合竞买申请书和协议，协议主要规定联合各方的权利和义务、参与竞买的代表人、联合各方的出资比例等。联合竞买申请人竞得土地后须于2个月内在本市工商行政管理部门按照申请书申报的出资人及出资比例设立新公司。根据挂牌出让结果，可先与竞得人签订《出让合同》，在竞得人按约定办理完新公司注册登记手续后，再与新公司签订《国有建设用地使用权出让合同变更协议》；也可按约定直接与新公司签订《出让合同》。并以新公司名义办理土地登记发证手续，不能按联合申请人各自出资比例分割办证。如对联合竞买申请人的开发资质条件有明确要求的，在审查联合竞买申请人资质时，以联合体内资质最低一方的资质确定竞买资格条件。</w:t>
      </w:r>
    </w:p>
    <w:p>
      <w:pPr>
        <w:pStyle w:val="3"/>
        <w:keepNext w:val="0"/>
        <w:keepLines w:val="0"/>
        <w:pageBreakBefore w:val="0"/>
        <w:widowControl w:val="0"/>
        <w:kinsoku/>
        <w:wordWrap/>
        <w:overflowPunct/>
        <w:topLinePunct w:val="0"/>
        <w:autoSpaceDE/>
        <w:autoSpaceDN/>
        <w:bidi w:val="0"/>
        <w:spacing w:before="0" w:line="560" w:lineRule="exact"/>
        <w:jc w:val="both"/>
        <w:textAlignment w:val="auto"/>
        <w:rPr>
          <w:rFonts w:hAnsi="仿宋_GB2312" w:cs="仿宋_GB2312"/>
          <w:szCs w:val="32"/>
        </w:rPr>
      </w:pPr>
      <w:r>
        <w:rPr>
          <w:rFonts w:hint="eastAsia" w:hAnsi="仿宋_GB2312" w:cs="仿宋_GB2312"/>
          <w:szCs w:val="32"/>
          <w:lang w:val="en-US" w:eastAsia="zh-CN"/>
        </w:rPr>
        <w:t>五</w:t>
      </w:r>
      <w:r>
        <w:rPr>
          <w:rFonts w:hint="eastAsia" w:hAnsi="仿宋_GB2312" w:cs="仿宋_GB2312"/>
          <w:szCs w:val="32"/>
        </w:rPr>
        <w:t>、申请人应具备的其他条件：</w:t>
      </w:r>
    </w:p>
    <w:p>
      <w:pPr>
        <w:pStyle w:val="3"/>
        <w:keepNext w:val="0"/>
        <w:keepLines w:val="0"/>
        <w:pageBreakBefore w:val="0"/>
        <w:widowControl w:val="0"/>
        <w:kinsoku/>
        <w:wordWrap/>
        <w:overflowPunct/>
        <w:topLinePunct w:val="0"/>
        <w:autoSpaceDE/>
        <w:autoSpaceDN/>
        <w:bidi w:val="0"/>
        <w:spacing w:line="560" w:lineRule="exact"/>
        <w:jc w:val="both"/>
        <w:textAlignment w:val="auto"/>
        <w:rPr>
          <w:rFonts w:hint="eastAsia" w:hAnsi="仿宋_GB2312" w:cs="仿宋_GB2312"/>
          <w:szCs w:val="32"/>
        </w:rPr>
      </w:pPr>
      <w:r>
        <w:rPr>
          <w:rFonts w:hint="eastAsia" w:hAnsi="仿宋_GB2312" w:cs="仿宋_GB2312"/>
          <w:szCs w:val="32"/>
        </w:rPr>
        <w:t>（一）缴交竞买保证金</w:t>
      </w:r>
      <w:r>
        <w:rPr>
          <w:rFonts w:hint="eastAsia" w:hAnsi="仿宋"/>
          <w:kern w:val="2"/>
          <w:szCs w:val="32"/>
          <w:lang w:val="en-US" w:eastAsia="zh-CN"/>
        </w:rPr>
        <w:t>2901</w:t>
      </w:r>
      <w:r>
        <w:rPr>
          <w:rFonts w:hint="eastAsia" w:hAnsi="仿宋_GB2312" w:cs="仿宋_GB2312"/>
          <w:szCs w:val="32"/>
        </w:rPr>
        <w:t>万元人民币。</w:t>
      </w:r>
    </w:p>
    <w:p>
      <w:pPr>
        <w:pStyle w:val="3"/>
        <w:keepNext w:val="0"/>
        <w:keepLines w:val="0"/>
        <w:pageBreakBefore w:val="0"/>
        <w:widowControl w:val="0"/>
        <w:kinsoku/>
        <w:wordWrap/>
        <w:overflowPunct/>
        <w:topLinePunct w:val="0"/>
        <w:autoSpaceDE/>
        <w:autoSpaceDN/>
        <w:bidi w:val="0"/>
        <w:spacing w:line="560" w:lineRule="exact"/>
        <w:ind w:left="0" w:leftChars="0" w:firstLine="640" w:firstLineChars="200"/>
        <w:jc w:val="both"/>
        <w:textAlignment w:val="auto"/>
        <w:rPr>
          <w:rFonts w:hint="eastAsia" w:hAnsi="仿宋_GB2312" w:cs="仿宋_GB2312"/>
          <w:szCs w:val="32"/>
        </w:rPr>
      </w:pPr>
      <w:r>
        <w:rPr>
          <w:rFonts w:hint="eastAsia" w:hAnsi="仿宋_GB2312" w:cs="仿宋_GB2312"/>
          <w:szCs w:val="32"/>
        </w:rPr>
        <w:t>（</w:t>
      </w:r>
      <w:r>
        <w:rPr>
          <w:rFonts w:hint="eastAsia" w:hAnsi="仿宋_GB2312" w:cs="仿宋_GB2312"/>
          <w:szCs w:val="32"/>
          <w:lang w:val="en-US" w:eastAsia="zh-CN"/>
        </w:rPr>
        <w:t>二</w:t>
      </w:r>
      <w:r>
        <w:rPr>
          <w:rFonts w:hint="eastAsia" w:hAnsi="仿宋_GB2312" w:cs="仿宋_GB2312"/>
          <w:szCs w:val="32"/>
        </w:rPr>
        <w:t>）存在下列违法违规违约行为之一的企业及其控股股东，不得参与竞买上述地块：</w:t>
      </w:r>
    </w:p>
    <w:p>
      <w:pPr>
        <w:pStyle w:val="3"/>
        <w:keepNext w:val="0"/>
        <w:keepLines w:val="0"/>
        <w:pageBreakBefore w:val="0"/>
        <w:widowControl w:val="0"/>
        <w:kinsoku/>
        <w:wordWrap/>
        <w:overflowPunct/>
        <w:topLinePunct w:val="0"/>
        <w:autoSpaceDE/>
        <w:autoSpaceDN/>
        <w:bidi w:val="0"/>
        <w:spacing w:before="0" w:line="560" w:lineRule="exact"/>
        <w:ind w:left="0" w:leftChars="0" w:firstLine="640" w:firstLineChars="200"/>
        <w:jc w:val="both"/>
        <w:textAlignment w:val="auto"/>
        <w:rPr>
          <w:rFonts w:hint="eastAsia" w:hAnsi="仿宋_GB2312" w:cs="仿宋_GB2312"/>
          <w:szCs w:val="32"/>
          <w:lang w:val="en-US" w:eastAsia="zh-CN"/>
        </w:rPr>
      </w:pPr>
      <w:r>
        <w:rPr>
          <w:rFonts w:hint="eastAsia" w:hAnsi="仿宋_GB2312" w:cs="仿宋_GB2312"/>
          <w:szCs w:val="32"/>
          <w:lang w:val="en-US" w:eastAsia="zh-CN"/>
        </w:rPr>
        <w:t>1、存在伪造公文骗取用地和非法倒卖土地等犯罪行为的；</w:t>
      </w:r>
    </w:p>
    <w:p>
      <w:pPr>
        <w:pStyle w:val="3"/>
        <w:keepNext w:val="0"/>
        <w:keepLines w:val="0"/>
        <w:pageBreakBefore w:val="0"/>
        <w:widowControl w:val="0"/>
        <w:kinsoku/>
        <w:wordWrap/>
        <w:overflowPunct/>
        <w:topLinePunct w:val="0"/>
        <w:autoSpaceDE/>
        <w:autoSpaceDN/>
        <w:bidi w:val="0"/>
        <w:spacing w:before="0" w:line="560" w:lineRule="exact"/>
        <w:jc w:val="both"/>
        <w:textAlignment w:val="auto"/>
        <w:rPr>
          <w:rFonts w:hint="eastAsia" w:hAnsi="仿宋_GB2312" w:cs="仿宋_GB2312"/>
          <w:szCs w:val="32"/>
          <w:lang w:val="en-US" w:eastAsia="zh-CN"/>
        </w:rPr>
      </w:pPr>
      <w:r>
        <w:rPr>
          <w:rFonts w:hint="eastAsia" w:hAnsi="仿宋_GB2312" w:cs="仿宋_GB2312"/>
          <w:szCs w:val="32"/>
          <w:lang w:val="en-US" w:eastAsia="zh-CN"/>
        </w:rPr>
        <w:t>2、存在非法转让土地使用权等违法行为的；</w:t>
      </w:r>
    </w:p>
    <w:p>
      <w:pPr>
        <w:pStyle w:val="3"/>
        <w:keepNext w:val="0"/>
        <w:keepLines w:val="0"/>
        <w:pageBreakBefore w:val="0"/>
        <w:widowControl w:val="0"/>
        <w:kinsoku/>
        <w:wordWrap/>
        <w:overflowPunct/>
        <w:topLinePunct w:val="0"/>
        <w:autoSpaceDE/>
        <w:autoSpaceDN/>
        <w:bidi w:val="0"/>
        <w:spacing w:before="0" w:line="560" w:lineRule="exact"/>
        <w:jc w:val="both"/>
        <w:textAlignment w:val="auto"/>
        <w:rPr>
          <w:rFonts w:hint="eastAsia" w:hAnsi="仿宋_GB2312" w:cs="仿宋_GB2312"/>
          <w:szCs w:val="32"/>
          <w:lang w:val="en-US" w:eastAsia="zh-CN"/>
        </w:rPr>
      </w:pPr>
      <w:r>
        <w:rPr>
          <w:rFonts w:hint="eastAsia" w:hAnsi="仿宋_GB2312" w:cs="仿宋_GB2312"/>
          <w:szCs w:val="32"/>
          <w:lang w:val="en-US" w:eastAsia="zh-CN"/>
        </w:rPr>
        <w:t>3、因企业原因造成土地闲置一年以上且至报名日止未处罚完结的；</w:t>
      </w:r>
    </w:p>
    <w:p>
      <w:pPr>
        <w:pStyle w:val="3"/>
        <w:keepNext w:val="0"/>
        <w:keepLines w:val="0"/>
        <w:pageBreakBefore w:val="0"/>
        <w:widowControl w:val="0"/>
        <w:kinsoku/>
        <w:wordWrap/>
        <w:overflowPunct/>
        <w:topLinePunct w:val="0"/>
        <w:autoSpaceDE/>
        <w:autoSpaceDN/>
        <w:bidi w:val="0"/>
        <w:spacing w:before="0" w:line="560" w:lineRule="exact"/>
        <w:jc w:val="both"/>
        <w:textAlignment w:val="auto"/>
        <w:rPr>
          <w:rFonts w:hint="eastAsia" w:hAnsi="仿宋_GB2312" w:cs="仿宋_GB2312"/>
          <w:szCs w:val="32"/>
          <w:lang w:val="en-US" w:eastAsia="zh-CN"/>
        </w:rPr>
      </w:pPr>
      <w:r>
        <w:rPr>
          <w:rFonts w:hint="eastAsia" w:hAnsi="仿宋_GB2312" w:cs="仿宋_GB2312"/>
          <w:szCs w:val="32"/>
          <w:lang w:val="en-US" w:eastAsia="zh-CN"/>
        </w:rPr>
        <w:t>4、开发建设企业有违背出让合同约定条件开发利用土地情形且至报名日止未处罚完结的；</w:t>
      </w:r>
    </w:p>
    <w:p>
      <w:pPr>
        <w:pStyle w:val="3"/>
        <w:keepNext w:val="0"/>
        <w:keepLines w:val="0"/>
        <w:pageBreakBefore w:val="0"/>
        <w:widowControl w:val="0"/>
        <w:kinsoku/>
        <w:wordWrap/>
        <w:overflowPunct/>
        <w:topLinePunct w:val="0"/>
        <w:autoSpaceDE/>
        <w:autoSpaceDN/>
        <w:bidi w:val="0"/>
        <w:spacing w:before="0" w:line="560" w:lineRule="exact"/>
        <w:jc w:val="both"/>
        <w:textAlignment w:val="auto"/>
        <w:rPr>
          <w:rFonts w:hint="eastAsia" w:hAnsi="仿宋_GB2312" w:cs="仿宋_GB2312"/>
          <w:szCs w:val="32"/>
          <w:lang w:val="en-US" w:eastAsia="zh-CN"/>
        </w:rPr>
      </w:pPr>
      <w:r>
        <w:rPr>
          <w:rFonts w:hint="eastAsia" w:hAnsi="仿宋_GB2312" w:cs="仿宋_GB2312"/>
          <w:szCs w:val="32"/>
          <w:lang w:val="en-US" w:eastAsia="zh-CN"/>
        </w:rPr>
        <w:t> 5、至报名日止仍拖欠政府地价款的。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rPr>
        <w:t>、本次国有建设用地使用权网上挂牌出让为无底价挂牌出让，按照价高者得的原则确定竞得人。</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sz w:val="32"/>
          <w:szCs w:val="32"/>
        </w:rPr>
        <w:t>、本次网上挂牌出让的详细资料和具体要求，见惠州市公共资源交易中心土地与矿业网上挂牌交易系统（</w:t>
      </w:r>
      <w:r>
        <w:rPr>
          <w:rFonts w:hint="eastAsia" w:ascii="仿宋_GB2312" w:hAnsi="仿宋_GB2312" w:eastAsia="仿宋_GB2312" w:cs="仿宋_GB2312"/>
          <w:sz w:val="32"/>
          <w:szCs w:val="32"/>
          <w:lang w:val="en-US" w:eastAsia="zh-CN"/>
        </w:rPr>
        <w:t>https://www.hzgtjy.com/</w:t>
      </w:r>
      <w:r>
        <w:rPr>
          <w:rFonts w:hint="eastAsia" w:ascii="仿宋_GB2312" w:hAnsi="仿宋_GB2312" w:eastAsia="仿宋_GB2312" w:cs="仿宋_GB2312"/>
          <w:sz w:val="32"/>
          <w:szCs w:val="32"/>
        </w:rPr>
        <w:t>）。申请人可在网上挂牌交易系统下载挂牌出让公告、须知及相关交易文件，并按上述文件规定的操作程序在网上参加竞买。</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八</w:t>
      </w:r>
      <w:r>
        <w:rPr>
          <w:rFonts w:hint="eastAsia" w:ascii="仿宋_GB2312" w:hAnsi="仿宋_GB2312" w:eastAsia="仿宋_GB2312" w:cs="仿宋_GB2312"/>
          <w:sz w:val="32"/>
          <w:szCs w:val="32"/>
        </w:rPr>
        <w:t>、有意竞买者可以自行到地块现场踏勘（可在网上挂牌交易系统查阅位置图和现状图）。</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九</w:t>
      </w:r>
      <w:r>
        <w:rPr>
          <w:rFonts w:hint="eastAsia" w:ascii="仿宋_GB2312" w:hAnsi="仿宋_GB2312" w:eastAsia="仿宋_GB2312" w:cs="仿宋_GB2312"/>
          <w:sz w:val="32"/>
          <w:szCs w:val="32"/>
        </w:rPr>
        <w:t>、申请人应当在网上挂牌出让结束前登陆惠州市公共资源交易中心土地与矿业网上挂牌交易系统并在系统上向惠州市公共资源交易中心提交竞买申请并支付保证金。网上挂牌保证金到账截止时间为20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14</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上</w:t>
      </w:r>
      <w:r>
        <w:rPr>
          <w:rFonts w:hint="eastAsia" w:ascii="仿宋_GB2312" w:hAnsi="仿宋_GB2312" w:eastAsia="仿宋_GB2312" w:cs="仿宋_GB2312"/>
          <w:sz w:val="32"/>
          <w:szCs w:val="32"/>
        </w:rPr>
        <w:t>午</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时止。网上挂牌报价时间截止时，经系统询问，有竞买人表示愿意继续竞价的，系统自动进入网上限时竞价程序，通过竞价确定竞得人。</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本次国有建设用地使用权网上挂牌出让只接受网上竞买申请，即通过惠州市公共资源交易中心土地与矿业网上挂牌交易系统进行，不接受电话、邮寄、书面、电子邮件及口头竞买。凡办理数字证书、按要求足额交纳竞买保证金的申请人，方可参加网上挂牌交易活动。</w:t>
      </w:r>
    </w:p>
    <w:p>
      <w:pPr>
        <w:keepNext w:val="0"/>
        <w:keepLines w:val="0"/>
        <w:pageBreakBefore w:val="0"/>
        <w:widowControl w:val="0"/>
        <w:kinsoku/>
        <w:wordWrap/>
        <w:overflowPunct/>
        <w:topLinePunct w:val="0"/>
        <w:autoSpaceDN/>
        <w:bidi w:val="0"/>
        <w:spacing w:line="560" w:lineRule="exact"/>
        <w:ind w:firstLine="555"/>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、网上挂牌系统确定成交后，竞得人缴纳的竞买保证金按</w:t>
      </w:r>
      <w:r>
        <w:rPr>
          <w:rFonts w:hint="eastAsia" w:ascii="仿宋_GB2312" w:hAnsi="仿宋_GB2312" w:eastAsia="仿宋_GB2312" w:cs="仿宋_GB2312"/>
          <w:sz w:val="32"/>
          <w:szCs w:val="32"/>
          <w:lang w:val="en-US" w:eastAsia="zh-CN"/>
        </w:rPr>
        <w:t>成交价的20%转作</w:t>
      </w:r>
      <w:r>
        <w:rPr>
          <w:rFonts w:hint="eastAsia" w:ascii="仿宋_GB2312" w:hAnsi="仿宋_GB2312" w:eastAsia="仿宋_GB2312" w:cs="仿宋_GB2312"/>
          <w:sz w:val="32"/>
          <w:szCs w:val="32"/>
        </w:rPr>
        <w:t>定金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如</w:t>
      </w:r>
      <w:r>
        <w:rPr>
          <w:rFonts w:hint="eastAsia" w:ascii="仿宋_GB2312" w:hAnsi="仿宋_GB2312" w:eastAsia="仿宋_GB2312" w:cs="仿宋_GB2312"/>
          <w:sz w:val="32"/>
          <w:szCs w:val="32"/>
          <w:lang w:eastAsia="zh-CN"/>
        </w:rPr>
        <w:t>竞买保证金</w:t>
      </w:r>
      <w:r>
        <w:rPr>
          <w:rFonts w:hint="eastAsia" w:ascii="仿宋_GB2312" w:hAnsi="仿宋_GB2312" w:eastAsia="仿宋_GB2312" w:cs="仿宋_GB2312"/>
          <w:sz w:val="32"/>
          <w:szCs w:val="32"/>
          <w:lang w:val="en-US" w:eastAsia="zh-CN"/>
        </w:rPr>
        <w:t>不足以缴纳定金，</w:t>
      </w:r>
      <w:r>
        <w:rPr>
          <w:rFonts w:hint="eastAsia" w:ascii="仿宋_GB2312" w:hAnsi="仿宋_GB2312" w:eastAsia="仿宋_GB2312" w:cs="仿宋_GB2312"/>
          <w:sz w:val="32"/>
          <w:szCs w:val="32"/>
        </w:rPr>
        <w:t>不足部分在交易系统确定成交之日起5个工作日内补齐</w:t>
      </w:r>
      <w:r>
        <w:rPr>
          <w:rFonts w:hint="eastAsia" w:ascii="仿宋_GB2312" w:hAnsi="仿宋_GB2312" w:eastAsia="仿宋_GB2312" w:cs="仿宋_GB2312"/>
          <w:sz w:val="32"/>
          <w:szCs w:val="32"/>
          <w:lang w:eastAsia="zh-CN"/>
        </w:rPr>
        <w:t>；如竞买保证金转作定金</w:t>
      </w:r>
      <w:r>
        <w:rPr>
          <w:rFonts w:hint="eastAsia" w:ascii="仿宋_GB2312" w:hAnsi="仿宋_GB2312" w:eastAsia="仿宋_GB2312" w:cs="仿宋_GB2312"/>
          <w:sz w:val="32"/>
          <w:szCs w:val="32"/>
          <w:lang w:val="en-US" w:eastAsia="zh-CN"/>
        </w:rPr>
        <w:t>后有剩余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余额抵作</w:t>
      </w:r>
      <w:r>
        <w:rPr>
          <w:rFonts w:hint="eastAsia" w:ascii="仿宋_GB2312" w:hAnsi="仿宋_GB2312" w:eastAsia="仿宋_GB2312" w:cs="仿宋_GB2312"/>
          <w:sz w:val="32"/>
          <w:szCs w:val="32"/>
          <w:lang w:val="en-US" w:eastAsia="zh-CN"/>
        </w:rPr>
        <w:t>土地</w:t>
      </w:r>
      <w:r>
        <w:rPr>
          <w:rFonts w:hint="eastAsia" w:ascii="仿宋_GB2312" w:hAnsi="仿宋_GB2312" w:eastAsia="仿宋_GB2312" w:cs="仿宋_GB2312"/>
          <w:sz w:val="32"/>
          <w:szCs w:val="32"/>
        </w:rPr>
        <w:t>成交价</w:t>
      </w:r>
      <w:r>
        <w:rPr>
          <w:rFonts w:hint="eastAsia" w:ascii="仿宋_GB2312" w:hAnsi="仿宋_GB2312" w:eastAsia="仿宋_GB2312" w:cs="仿宋_GB2312"/>
          <w:sz w:val="32"/>
          <w:szCs w:val="32"/>
          <w:lang w:val="en-US" w:eastAsia="zh-CN"/>
        </w:rPr>
        <w:t>的预付</w:t>
      </w:r>
      <w:r>
        <w:rPr>
          <w:rFonts w:hint="eastAsia" w:ascii="仿宋_GB2312" w:hAnsi="仿宋_GB2312" w:eastAsia="仿宋_GB2312" w:cs="仿宋_GB2312"/>
          <w:sz w:val="32"/>
          <w:szCs w:val="32"/>
        </w:rPr>
        <w:t>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竞得人签订《出让合同》后，定金可抵作土地成交价款，余额转作成交价款。</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、其它需要公告的事项</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（一）开发投资总额不少于</w:t>
      </w:r>
      <w:r>
        <w:rPr>
          <w:rFonts w:hint="eastAsia" w:ascii="仿宋_GB2312" w:hAnsi="仿宋" w:eastAsia="仿宋_GB2312"/>
          <w:sz w:val="32"/>
          <w:szCs w:val="32"/>
          <w:lang w:val="en-US" w:eastAsia="zh-CN"/>
        </w:rPr>
        <w:t>16207</w:t>
      </w:r>
      <w:r>
        <w:rPr>
          <w:rFonts w:hint="eastAsia" w:ascii="仿宋_GB2312" w:hAnsi="仿宋_GB2312" w:eastAsia="仿宋_GB2312" w:cs="仿宋_GB2312"/>
          <w:sz w:val="32"/>
          <w:szCs w:val="32"/>
        </w:rPr>
        <w:t>万元（含地价）。</w:t>
      </w:r>
    </w:p>
    <w:p>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（二）竞得人在用地红线内开发建设必须符合城市规划要求，必须按</w:t>
      </w:r>
      <w:r>
        <w:rPr>
          <w:rFonts w:hint="eastAsia" w:ascii="仿宋_GB2312" w:hAnsi="仿宋_GB2312" w:eastAsia="仿宋_GB2312" w:cs="仿宋_GB2312"/>
          <w:color w:val="auto"/>
          <w:sz w:val="32"/>
          <w:szCs w:val="32"/>
          <w:lang w:eastAsia="zh-CN"/>
        </w:rPr>
        <w:t>项目规划建设方案</w:t>
      </w:r>
      <w:r>
        <w:rPr>
          <w:rFonts w:hint="eastAsia" w:ascii="仿宋_GB2312" w:hAnsi="仿宋_GB2312" w:eastAsia="仿宋_GB2312" w:cs="仿宋_GB2312"/>
          <w:sz w:val="32"/>
          <w:szCs w:val="32"/>
        </w:rPr>
        <w:t>的要求进行规划设计。</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）土地成交价款须以人民币支付,竞得人</w:t>
      </w:r>
      <w:r>
        <w:rPr>
          <w:rFonts w:ascii="仿宋_GB2312" w:hAnsi="仿宋_GB2312" w:eastAsia="仿宋_GB2312" w:cs="仿宋_GB2312"/>
          <w:sz w:val="32"/>
          <w:szCs w:val="32"/>
        </w:rPr>
        <w:t>在签订</w:t>
      </w:r>
      <w:r>
        <w:rPr>
          <w:rFonts w:hint="eastAsia" w:ascii="仿宋_GB2312" w:hAnsi="仿宋_GB2312" w:eastAsia="仿宋_GB2312" w:cs="仿宋_GB2312"/>
          <w:sz w:val="32"/>
          <w:szCs w:val="32"/>
        </w:rPr>
        <w:t>《出让合同》之日起30日</w:t>
      </w:r>
      <w:r>
        <w:rPr>
          <w:rFonts w:ascii="仿宋_GB2312" w:hAnsi="仿宋_GB2312" w:eastAsia="仿宋_GB2312" w:cs="仿宋_GB2312"/>
          <w:sz w:val="32"/>
          <w:szCs w:val="32"/>
        </w:rPr>
        <w:t>内付清全部成交</w:t>
      </w:r>
      <w:r>
        <w:rPr>
          <w:rFonts w:hint="eastAsia" w:ascii="仿宋_GB2312" w:hAnsi="仿宋_GB2312" w:eastAsia="仿宋_GB2312" w:cs="仿宋_GB2312"/>
          <w:sz w:val="32"/>
          <w:szCs w:val="32"/>
        </w:rPr>
        <w:t>价款。</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）竞买人须提交惠城区发改局出具的与该宗地块规划确定的产业类型一致的优先发展产业项目文件。</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五</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项目规划建设方案</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color w:val="auto"/>
          <w:kern w:val="0"/>
          <w:sz w:val="32"/>
          <w:szCs w:val="32"/>
          <w:lang w:val="en-US" w:eastAsia="zh-CN"/>
        </w:rPr>
      </w:pPr>
      <w:r>
        <w:rPr>
          <w:rFonts w:hint="eastAsia" w:ascii="仿宋_GB2312" w:hAnsi="仿宋_GB2312" w:eastAsia="仿宋_GB2312" w:cs="仿宋_GB2312"/>
          <w:color w:val="auto"/>
          <w:sz w:val="32"/>
          <w:szCs w:val="32"/>
          <w:lang w:val="en-US" w:eastAsia="zh-CN"/>
        </w:rPr>
        <w:t>所报总平面图的主要技术经济指标：</w:t>
      </w:r>
      <w:r>
        <w:rPr>
          <w:rFonts w:hint="default" w:ascii="仿宋_GB2312" w:hAnsi="宋体" w:eastAsia="仿宋_GB2312" w:cs="宋体"/>
          <w:color w:val="auto"/>
          <w:kern w:val="0"/>
          <w:sz w:val="32"/>
          <w:szCs w:val="32"/>
          <w:lang w:val="en-US" w:eastAsia="zh-CN"/>
        </w:rPr>
        <w:t>规划布局</w:t>
      </w:r>
      <w:r>
        <w:rPr>
          <w:rFonts w:hint="eastAsia" w:ascii="仿宋_GB2312" w:hAnsi="宋体" w:eastAsia="仿宋_GB2312" w:cs="宋体"/>
          <w:color w:val="auto"/>
          <w:kern w:val="0"/>
          <w:sz w:val="32"/>
          <w:szCs w:val="32"/>
          <w:lang w:val="en-US" w:eastAsia="zh-CN"/>
        </w:rPr>
        <w:t>14</w:t>
      </w:r>
      <w:r>
        <w:rPr>
          <w:rFonts w:hint="default" w:ascii="仿宋_GB2312" w:hAnsi="宋体" w:eastAsia="仿宋_GB2312" w:cs="宋体"/>
          <w:color w:val="auto"/>
          <w:kern w:val="0"/>
          <w:sz w:val="32"/>
          <w:szCs w:val="32"/>
          <w:lang w:val="en-US" w:eastAsia="zh-CN"/>
        </w:rPr>
        <w:t>栋</w:t>
      </w:r>
      <w:r>
        <w:rPr>
          <w:rFonts w:hint="eastAsia" w:ascii="仿宋_GB2312" w:hAnsi="宋体" w:eastAsia="仿宋_GB2312" w:cs="宋体"/>
          <w:color w:val="auto"/>
          <w:kern w:val="0"/>
          <w:sz w:val="32"/>
          <w:szCs w:val="32"/>
          <w:lang w:val="en-US" w:eastAsia="zh-CN"/>
        </w:rPr>
        <w:t>地上9层的</w:t>
      </w:r>
      <w:r>
        <w:rPr>
          <w:rFonts w:hint="default" w:ascii="仿宋_GB2312" w:hAnsi="宋体" w:eastAsia="仿宋_GB2312" w:cs="宋体"/>
          <w:color w:val="auto"/>
          <w:kern w:val="0"/>
          <w:sz w:val="32"/>
          <w:szCs w:val="32"/>
          <w:lang w:val="en-US" w:eastAsia="zh-CN"/>
        </w:rPr>
        <w:t>厂房、2栋</w:t>
      </w:r>
      <w:r>
        <w:rPr>
          <w:rFonts w:hint="eastAsia" w:ascii="仿宋_GB2312" w:hAnsi="宋体" w:eastAsia="仿宋_GB2312" w:cs="宋体"/>
          <w:color w:val="auto"/>
          <w:kern w:val="0"/>
          <w:sz w:val="32"/>
          <w:szCs w:val="32"/>
          <w:lang w:val="en-US" w:eastAsia="zh-CN"/>
        </w:rPr>
        <w:t>地上26层地下1层的</w:t>
      </w:r>
      <w:r>
        <w:rPr>
          <w:rFonts w:hint="default" w:ascii="仿宋_GB2312" w:hAnsi="宋体" w:eastAsia="仿宋_GB2312" w:cs="宋体"/>
          <w:color w:val="auto"/>
          <w:kern w:val="0"/>
          <w:sz w:val="32"/>
          <w:szCs w:val="32"/>
          <w:lang w:val="en-US" w:eastAsia="zh-CN"/>
        </w:rPr>
        <w:t>宿舍</w:t>
      </w:r>
      <w:r>
        <w:rPr>
          <w:rFonts w:hint="eastAsia" w:ascii="仿宋_GB2312" w:hAnsi="宋体" w:eastAsia="仿宋_GB2312" w:cs="宋体"/>
          <w:color w:val="auto"/>
          <w:kern w:val="0"/>
          <w:sz w:val="32"/>
          <w:szCs w:val="32"/>
          <w:lang w:val="en-US" w:eastAsia="zh-CN"/>
        </w:rPr>
        <w:t>楼通过首层架空连接</w:t>
      </w:r>
      <w:r>
        <w:rPr>
          <w:rFonts w:hint="default" w:ascii="仿宋_GB2312" w:hAnsi="宋体" w:eastAsia="仿宋_GB2312" w:cs="宋体"/>
          <w:color w:val="auto"/>
          <w:kern w:val="0"/>
          <w:sz w:val="32"/>
          <w:szCs w:val="32"/>
          <w:lang w:val="en-US" w:eastAsia="zh-CN"/>
        </w:rPr>
        <w:t>，计算指标用地面积</w:t>
      </w:r>
      <w:r>
        <w:rPr>
          <w:rFonts w:hint="eastAsia" w:ascii="仿宋_GB2312" w:hAnsi="宋体" w:eastAsia="仿宋_GB2312" w:cs="宋体"/>
          <w:color w:val="auto"/>
          <w:kern w:val="0"/>
          <w:sz w:val="32"/>
          <w:szCs w:val="32"/>
          <w:lang w:val="en-US" w:eastAsia="zh-CN"/>
        </w:rPr>
        <w:t>97810</w:t>
      </w:r>
      <w:r>
        <w:rPr>
          <w:rFonts w:hint="default" w:ascii="仿宋_GB2312" w:hAnsi="宋体" w:eastAsia="仿宋_GB2312" w:cs="宋体"/>
          <w:color w:val="auto"/>
          <w:kern w:val="0"/>
          <w:sz w:val="32"/>
          <w:szCs w:val="32"/>
          <w:lang w:val="en-US" w:eastAsia="zh-CN"/>
        </w:rPr>
        <w:t>平方米</w:t>
      </w:r>
      <w:r>
        <w:rPr>
          <w:rFonts w:hint="eastAsia" w:ascii="仿宋_GB2312" w:hAnsi="宋体" w:eastAsia="仿宋_GB2312" w:cs="宋体"/>
          <w:color w:val="auto"/>
          <w:kern w:val="0"/>
          <w:sz w:val="32"/>
          <w:szCs w:val="32"/>
          <w:lang w:val="en-US" w:eastAsia="zh-CN"/>
        </w:rPr>
        <w:t>（其中生活服务设施建筑面积占比15.8%）</w:t>
      </w:r>
      <w:r>
        <w:rPr>
          <w:rFonts w:hint="default" w:ascii="仿宋_GB2312" w:hAnsi="宋体" w:eastAsia="仿宋_GB2312" w:cs="宋体"/>
          <w:color w:val="auto"/>
          <w:kern w:val="0"/>
          <w:sz w:val="32"/>
          <w:szCs w:val="32"/>
          <w:lang w:val="en-US" w:eastAsia="zh-CN"/>
        </w:rPr>
        <w:t>，计容积率建筑面积</w:t>
      </w:r>
      <w:r>
        <w:rPr>
          <w:rFonts w:hint="eastAsia" w:ascii="仿宋_GB2312" w:hAnsi="宋体" w:eastAsia="仿宋_GB2312" w:cs="宋体"/>
          <w:color w:val="auto"/>
          <w:kern w:val="0"/>
          <w:sz w:val="32"/>
          <w:szCs w:val="32"/>
          <w:lang w:val="en-US" w:eastAsia="zh-CN"/>
        </w:rPr>
        <w:t>342335</w:t>
      </w:r>
      <w:r>
        <w:rPr>
          <w:rFonts w:hint="default" w:ascii="仿宋_GB2312" w:hAnsi="宋体" w:eastAsia="仿宋_GB2312" w:cs="宋体"/>
          <w:color w:val="auto"/>
          <w:kern w:val="0"/>
          <w:sz w:val="32"/>
          <w:szCs w:val="32"/>
          <w:lang w:val="en-US" w:eastAsia="zh-CN"/>
        </w:rPr>
        <w:t>平方米，容积率</w:t>
      </w:r>
      <w:r>
        <w:rPr>
          <w:rFonts w:hint="eastAsia" w:ascii="仿宋_GB2312" w:hAnsi="宋体" w:eastAsia="仿宋_GB2312" w:cs="宋体"/>
          <w:color w:val="auto"/>
          <w:kern w:val="0"/>
          <w:sz w:val="32"/>
          <w:szCs w:val="32"/>
          <w:lang w:val="en-US" w:eastAsia="zh-CN"/>
        </w:rPr>
        <w:t>3.5</w:t>
      </w:r>
      <w:r>
        <w:rPr>
          <w:rFonts w:hint="default" w:ascii="仿宋_GB2312" w:hAnsi="宋体" w:eastAsia="仿宋_GB2312" w:cs="宋体"/>
          <w:color w:val="auto"/>
          <w:kern w:val="0"/>
          <w:sz w:val="32"/>
          <w:szCs w:val="32"/>
          <w:lang w:val="en-US" w:eastAsia="zh-CN"/>
        </w:rPr>
        <w:t>，</w:t>
      </w:r>
      <w:r>
        <w:rPr>
          <w:rFonts w:hint="eastAsia" w:ascii="仿宋_GB2312" w:hAnsi="宋体" w:eastAsia="仿宋_GB2312" w:cs="宋体"/>
          <w:color w:val="auto"/>
          <w:kern w:val="0"/>
          <w:sz w:val="32"/>
          <w:szCs w:val="32"/>
          <w:lang w:val="en-US" w:eastAsia="zh-CN"/>
        </w:rPr>
        <w:t>基地面积34435.04平方米，</w:t>
      </w:r>
      <w:r>
        <w:rPr>
          <w:rFonts w:hint="default" w:ascii="仿宋_GB2312" w:hAnsi="宋体" w:eastAsia="仿宋_GB2312" w:cs="宋体"/>
          <w:color w:val="auto"/>
          <w:kern w:val="0"/>
          <w:sz w:val="32"/>
          <w:szCs w:val="32"/>
          <w:lang w:val="en-US" w:eastAsia="zh-CN"/>
        </w:rPr>
        <w:t>建筑密度</w:t>
      </w:r>
      <w:r>
        <w:rPr>
          <w:rFonts w:hint="eastAsia" w:ascii="仿宋_GB2312" w:hAnsi="宋体" w:eastAsia="仿宋_GB2312" w:cs="宋体"/>
          <w:color w:val="auto"/>
          <w:kern w:val="0"/>
          <w:sz w:val="32"/>
          <w:szCs w:val="32"/>
          <w:lang w:val="en-US" w:eastAsia="zh-CN"/>
        </w:rPr>
        <w:t>35.21</w:t>
      </w:r>
      <w:r>
        <w:rPr>
          <w:rFonts w:hint="default" w:ascii="仿宋_GB2312" w:hAnsi="宋体" w:eastAsia="仿宋_GB2312" w:cs="宋体"/>
          <w:color w:val="auto"/>
          <w:kern w:val="0"/>
          <w:sz w:val="32"/>
          <w:szCs w:val="32"/>
          <w:lang w:val="en-US" w:eastAsia="zh-CN"/>
        </w:rPr>
        <w:t>%（其中生活服务设施基底面积占用地面积比</w:t>
      </w:r>
      <w:r>
        <w:rPr>
          <w:rFonts w:hint="eastAsia" w:ascii="仿宋_GB2312" w:hAnsi="宋体" w:eastAsia="仿宋_GB2312" w:cs="宋体"/>
          <w:color w:val="auto"/>
          <w:kern w:val="0"/>
          <w:sz w:val="32"/>
          <w:szCs w:val="32"/>
          <w:lang w:val="en-US" w:eastAsia="zh-CN"/>
        </w:rPr>
        <w:t>3.41</w:t>
      </w:r>
      <w:r>
        <w:rPr>
          <w:rFonts w:hint="default" w:ascii="仿宋_GB2312" w:hAnsi="宋体" w:eastAsia="仿宋_GB2312" w:cs="宋体"/>
          <w:color w:val="auto"/>
          <w:kern w:val="0"/>
          <w:sz w:val="32"/>
          <w:szCs w:val="32"/>
          <w:lang w:val="en-US" w:eastAsia="zh-CN"/>
        </w:rPr>
        <w:t>%），绿地率15</w:t>
      </w:r>
      <w:r>
        <w:rPr>
          <w:rFonts w:hint="eastAsia" w:ascii="仿宋_GB2312" w:hAnsi="宋体" w:eastAsia="仿宋_GB2312" w:cs="宋体"/>
          <w:color w:val="auto"/>
          <w:kern w:val="0"/>
          <w:sz w:val="32"/>
          <w:szCs w:val="32"/>
          <w:lang w:val="en-US" w:eastAsia="zh-CN"/>
        </w:rPr>
        <w:t>.7</w:t>
      </w:r>
      <w:r>
        <w:rPr>
          <w:rFonts w:hint="default" w:ascii="仿宋_GB2312" w:hAnsi="宋体" w:eastAsia="仿宋_GB2312" w:cs="宋体"/>
          <w:color w:val="auto"/>
          <w:kern w:val="0"/>
          <w:sz w:val="32"/>
          <w:szCs w:val="32"/>
          <w:lang w:val="en-US" w:eastAsia="zh-CN"/>
        </w:rPr>
        <w:t>%，机动车停车位</w:t>
      </w:r>
      <w:r>
        <w:rPr>
          <w:rFonts w:hint="eastAsia" w:ascii="仿宋_GB2312" w:hAnsi="宋体" w:eastAsia="仿宋_GB2312" w:cs="宋体"/>
          <w:color w:val="auto"/>
          <w:kern w:val="0"/>
          <w:sz w:val="32"/>
          <w:szCs w:val="32"/>
          <w:lang w:val="en-US" w:eastAsia="zh-CN"/>
        </w:rPr>
        <w:t>1110</w:t>
      </w:r>
      <w:r>
        <w:rPr>
          <w:rFonts w:hint="default" w:ascii="仿宋_GB2312" w:hAnsi="宋体" w:eastAsia="仿宋_GB2312" w:cs="宋体"/>
          <w:color w:val="auto"/>
          <w:kern w:val="0"/>
          <w:sz w:val="32"/>
          <w:szCs w:val="32"/>
          <w:lang w:val="en-US" w:eastAsia="zh-CN"/>
        </w:rPr>
        <w:t>个</w:t>
      </w:r>
      <w:r>
        <w:rPr>
          <w:rFonts w:hint="eastAsia" w:ascii="仿宋_GB2312" w:hAnsi="宋体" w:eastAsia="仿宋_GB2312" w:cs="宋体"/>
          <w:color w:val="auto"/>
          <w:kern w:val="0"/>
          <w:sz w:val="32"/>
          <w:szCs w:val="32"/>
          <w:lang w:val="en-US" w:eastAsia="zh-CN"/>
        </w:rPr>
        <w:t>（其中地下563个）</w:t>
      </w:r>
      <w:r>
        <w:rPr>
          <w:rFonts w:hint="default" w:ascii="仿宋_GB2312" w:hAnsi="宋体" w:eastAsia="仿宋_GB2312" w:cs="宋体"/>
          <w:color w:val="auto"/>
          <w:kern w:val="0"/>
          <w:sz w:val="32"/>
          <w:szCs w:val="32"/>
          <w:lang w:val="en-US" w:eastAsia="zh-CN"/>
        </w:rPr>
        <w:t>，非机动车停车位</w:t>
      </w:r>
      <w:r>
        <w:rPr>
          <w:rFonts w:hint="eastAsia" w:ascii="仿宋_GB2312" w:hAnsi="宋体" w:eastAsia="仿宋_GB2312" w:cs="宋体"/>
          <w:color w:val="auto"/>
          <w:kern w:val="0"/>
          <w:sz w:val="32"/>
          <w:szCs w:val="32"/>
          <w:lang w:val="en-US" w:eastAsia="zh-CN"/>
        </w:rPr>
        <w:t>563</w:t>
      </w:r>
      <w:r>
        <w:rPr>
          <w:rFonts w:hint="default" w:ascii="仿宋_GB2312" w:hAnsi="宋体" w:eastAsia="仿宋_GB2312" w:cs="宋体"/>
          <w:color w:val="auto"/>
          <w:kern w:val="0"/>
          <w:sz w:val="32"/>
          <w:szCs w:val="32"/>
          <w:lang w:val="en-US" w:eastAsia="zh-CN"/>
        </w:rPr>
        <w:t>个，</w:t>
      </w:r>
      <w:r>
        <w:rPr>
          <w:rFonts w:hint="eastAsia" w:ascii="仿宋_GB2312" w:hAnsi="宋体" w:eastAsia="仿宋_GB2312" w:cs="宋体"/>
          <w:color w:val="auto"/>
          <w:kern w:val="0"/>
          <w:sz w:val="32"/>
          <w:szCs w:val="32"/>
          <w:lang w:val="en-US" w:eastAsia="zh-CN"/>
        </w:rPr>
        <w:t>配建6级人防掩蔽工程（车库）建筑</w:t>
      </w:r>
      <w:r>
        <w:rPr>
          <w:rFonts w:hint="default" w:ascii="仿宋_GB2312" w:hAnsi="宋体" w:eastAsia="仿宋_GB2312" w:cs="宋体"/>
          <w:color w:val="auto"/>
          <w:kern w:val="0"/>
          <w:sz w:val="32"/>
          <w:szCs w:val="32"/>
          <w:lang w:val="en-US" w:eastAsia="zh-CN"/>
        </w:rPr>
        <w:t>面积</w:t>
      </w:r>
      <w:r>
        <w:rPr>
          <w:rFonts w:hint="eastAsia" w:ascii="仿宋_GB2312" w:hAnsi="宋体" w:eastAsia="仿宋_GB2312" w:cs="宋体"/>
          <w:color w:val="auto"/>
          <w:kern w:val="0"/>
          <w:sz w:val="32"/>
          <w:szCs w:val="32"/>
          <w:lang w:val="en-US" w:eastAsia="zh-CN"/>
        </w:rPr>
        <w:t>2898</w:t>
      </w:r>
      <w:r>
        <w:rPr>
          <w:rFonts w:hint="default" w:ascii="仿宋_GB2312" w:hAnsi="宋体" w:eastAsia="仿宋_GB2312" w:cs="宋体"/>
          <w:color w:val="auto"/>
          <w:kern w:val="0"/>
          <w:sz w:val="32"/>
          <w:szCs w:val="32"/>
          <w:lang w:val="en-US" w:eastAsia="zh-CN"/>
        </w:rPr>
        <w:t>平方米。所报方案主要技术指标符合《建设用地规划设计条件》（PB202</w:t>
      </w:r>
      <w:r>
        <w:rPr>
          <w:rFonts w:hint="eastAsia" w:ascii="仿宋_GB2312" w:hAnsi="宋体" w:eastAsia="仿宋_GB2312" w:cs="宋体"/>
          <w:color w:val="auto"/>
          <w:kern w:val="0"/>
          <w:sz w:val="32"/>
          <w:szCs w:val="32"/>
          <w:lang w:val="en-US" w:eastAsia="zh-CN"/>
        </w:rPr>
        <w:t>00117</w:t>
      </w:r>
      <w:r>
        <w:rPr>
          <w:rFonts w:hint="default" w:ascii="仿宋_GB2312" w:hAnsi="宋体" w:eastAsia="仿宋_GB2312" w:cs="宋体"/>
          <w:color w:val="auto"/>
          <w:kern w:val="0"/>
          <w:sz w:val="32"/>
          <w:szCs w:val="32"/>
          <w:lang w:val="en-US" w:eastAsia="zh-CN"/>
        </w:rPr>
        <w:t>)相关要求，须按程序进行公示，公示期未收到公众意见后则同意所报总平面图及单体建筑设计方案。排水须采用雨、污分流制，并预留市政管线接驳口，建筑设计须符合国家、省、市有关绿色建筑和建筑节能方面的技术规范和标准，须按海绵城市设计要求做好设计及施工。</w:t>
      </w:r>
      <w:r>
        <w:rPr>
          <w:rFonts w:hint="eastAsia" w:ascii="仿宋_GB2312" w:hAnsi="宋体" w:eastAsia="仿宋_GB2312" w:cs="宋体"/>
          <w:color w:val="auto"/>
          <w:kern w:val="0"/>
          <w:sz w:val="32"/>
          <w:szCs w:val="32"/>
          <w:lang w:val="en-US" w:eastAsia="zh-CN"/>
        </w:rPr>
        <w:t>本项目应按照《惠州市人民政府办公室关于大力发展装配式建筑的实施意见》（惠府办[2019]10号）的要求执行。</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（六）招商条件</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投资强度不低于</w:t>
      </w:r>
      <w:r>
        <w:rPr>
          <w:rFonts w:hint="eastAsia" w:ascii="仿宋_GB2312" w:hAnsi="仿宋_GB2312" w:eastAsia="仿宋_GB2312" w:cs="仿宋_GB2312"/>
          <w:color w:val="auto"/>
          <w:sz w:val="32"/>
          <w:szCs w:val="32"/>
          <w:lang w:val="en-US" w:eastAsia="zh-CN"/>
        </w:rPr>
        <w:t>15400元</w:t>
      </w:r>
      <w:r>
        <w:rPr>
          <w:rFonts w:hint="eastAsia" w:ascii="仿宋_GB2312" w:hAnsi="仿宋_GB2312" w:eastAsia="仿宋_GB2312" w:cs="仿宋_GB2312"/>
          <w:color w:val="auto"/>
          <w:sz w:val="32"/>
          <w:szCs w:val="32"/>
          <w:lang w:eastAsia="zh-CN"/>
        </w:rPr>
        <w:t>/平方米，土地产出率（营业收入）不低于</w:t>
      </w:r>
      <w:r>
        <w:rPr>
          <w:rFonts w:hint="eastAsia" w:ascii="仿宋_GB2312" w:hAnsi="仿宋_GB2312" w:eastAsia="仿宋_GB2312" w:cs="仿宋_GB2312"/>
          <w:color w:val="auto"/>
          <w:sz w:val="32"/>
          <w:szCs w:val="32"/>
          <w:lang w:val="en-US" w:eastAsia="zh-CN"/>
        </w:rPr>
        <w:t>75000</w:t>
      </w:r>
      <w:r>
        <w:rPr>
          <w:rFonts w:hint="eastAsia" w:ascii="仿宋_GB2312" w:hAnsi="仿宋_GB2312" w:eastAsia="仿宋_GB2312" w:cs="仿宋_GB2312"/>
          <w:color w:val="auto"/>
          <w:sz w:val="32"/>
          <w:szCs w:val="32"/>
          <w:lang w:eastAsia="zh-CN"/>
        </w:rPr>
        <w:t>元/平方米/年（</w:t>
      </w:r>
      <w:r>
        <w:rPr>
          <w:rFonts w:hint="eastAsia" w:ascii="仿宋_GB2312" w:hAnsi="仿宋_GB2312" w:eastAsia="仿宋_GB2312" w:cs="仿宋_GB2312"/>
          <w:color w:val="auto"/>
          <w:sz w:val="32"/>
          <w:szCs w:val="32"/>
          <w:lang w:val="en-US" w:eastAsia="zh-CN"/>
        </w:rPr>
        <w:t>其中，工业产值不低于10000</w:t>
      </w:r>
      <w:r>
        <w:rPr>
          <w:rFonts w:hint="eastAsia" w:ascii="仿宋_GB2312" w:hAnsi="仿宋_GB2312" w:eastAsia="仿宋_GB2312" w:cs="仿宋_GB2312"/>
          <w:color w:val="auto"/>
          <w:sz w:val="32"/>
          <w:szCs w:val="32"/>
          <w:lang w:eastAsia="zh-CN"/>
        </w:rPr>
        <w:t>元/平方米/年），税收产出不低于</w:t>
      </w:r>
      <w:r>
        <w:rPr>
          <w:rFonts w:hint="eastAsia" w:ascii="仿宋_GB2312" w:hAnsi="仿宋_GB2312" w:eastAsia="仿宋_GB2312" w:cs="仿宋_GB2312"/>
          <w:color w:val="auto"/>
          <w:sz w:val="32"/>
          <w:szCs w:val="32"/>
          <w:lang w:val="en-US" w:eastAsia="zh-CN"/>
        </w:rPr>
        <w:t>1208</w:t>
      </w:r>
      <w:r>
        <w:rPr>
          <w:rFonts w:hint="eastAsia" w:ascii="仿宋_GB2312" w:hAnsi="仿宋_GB2312" w:eastAsia="仿宋_GB2312" w:cs="仿宋_GB2312"/>
          <w:color w:val="auto"/>
          <w:sz w:val="32"/>
          <w:szCs w:val="32"/>
          <w:lang w:eastAsia="zh-CN"/>
        </w:rPr>
        <w:t>元/平方米/年。其中，土地产出率及税收产出，在项目投产后</w:t>
      </w:r>
      <w:r>
        <w:rPr>
          <w:rFonts w:hint="eastAsia" w:ascii="仿宋_GB2312" w:hAnsi="仿宋_GB2312" w:eastAsia="仿宋_GB2312" w:cs="仿宋_GB2312"/>
          <w:color w:val="auto"/>
          <w:sz w:val="32"/>
          <w:szCs w:val="32"/>
          <w:lang w:val="en-US" w:eastAsia="zh-CN"/>
        </w:rPr>
        <w:t>3年内逐年</w:t>
      </w:r>
      <w:r>
        <w:rPr>
          <w:rFonts w:hint="eastAsia" w:ascii="仿宋_GB2312" w:hAnsi="仿宋_GB2312" w:eastAsia="仿宋_GB2312" w:cs="仿宋_GB2312"/>
          <w:color w:val="auto"/>
          <w:sz w:val="32"/>
          <w:szCs w:val="32"/>
          <w:lang w:eastAsia="zh-CN"/>
        </w:rPr>
        <w:t>考核，</w:t>
      </w:r>
      <w:r>
        <w:rPr>
          <w:rFonts w:hint="eastAsia" w:ascii="仿宋_GB2312" w:hAnsi="仿宋_GB2312" w:eastAsia="仿宋_GB2312" w:cs="仿宋_GB2312"/>
          <w:color w:val="auto"/>
          <w:sz w:val="32"/>
          <w:szCs w:val="32"/>
          <w:lang w:val="en-US" w:eastAsia="zh-CN"/>
        </w:rPr>
        <w:t>3年内的</w:t>
      </w:r>
      <w:r>
        <w:rPr>
          <w:rFonts w:hint="eastAsia" w:ascii="仿宋_GB2312" w:hAnsi="仿宋_GB2312" w:eastAsia="仿宋_GB2312" w:cs="仿宋_GB2312"/>
          <w:color w:val="auto"/>
          <w:sz w:val="32"/>
          <w:szCs w:val="32"/>
          <w:lang w:eastAsia="zh-CN"/>
        </w:rPr>
        <w:t>平均值不得低于上述标准。</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在签订《国有建设用地交地确认书》在未通过指标评价考核之前，原则上不得转让土地使用权和变更开发主体公司股权。确需要转让土地使用权和变更开发主体公司股权的，除满足土地使用权转让和公司股权变更的法律法规政策规定和其他约定外，乙方须报请甲方审定同意，同时将宗地投资建设受本协议约束如实告知其受让方，协助受让方与甲方重新签订协议，并保证本协议的主体从乙方变更为其受让方。本宗地交付乙方后,乙方须向惠城区高新科技产业园管委会提交项目投资计划书和时间安排表，并按月向惠城区高新科技产业园管委会书面报告项目进展情况，直至项目投产。</w:t>
      </w:r>
    </w:p>
    <w:p>
      <w:pPr>
        <w:keepNext w:val="0"/>
        <w:keepLines w:val="0"/>
        <w:pageBreakBefore w:val="0"/>
        <w:widowControl/>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竞得人需与</w:t>
      </w:r>
      <w:r>
        <w:rPr>
          <w:rFonts w:hint="eastAsia" w:ascii="仿宋_GB2312" w:hAnsi="宋体" w:eastAsia="仿宋_GB2312" w:cs="宋体"/>
          <w:color w:val="auto"/>
          <w:kern w:val="0"/>
          <w:sz w:val="32"/>
          <w:szCs w:val="32"/>
        </w:rPr>
        <w:t>惠城区高新科技产业园管委会</w:t>
      </w:r>
      <w:r>
        <w:rPr>
          <w:rFonts w:hint="eastAsia" w:ascii="仿宋_GB2312" w:hAnsi="宋体" w:eastAsia="仿宋_GB2312" w:cs="宋体"/>
          <w:kern w:val="0"/>
          <w:sz w:val="32"/>
          <w:szCs w:val="32"/>
          <w:lang w:val="en-US" w:eastAsia="zh-CN"/>
        </w:rPr>
        <w:t>签订《</w:t>
      </w:r>
      <w:r>
        <w:rPr>
          <w:rFonts w:hint="eastAsia" w:ascii="仿宋_GB2312" w:hAnsi="宋体" w:eastAsia="仿宋_GB2312" w:cs="宋体"/>
          <w:color w:val="auto"/>
          <w:kern w:val="0"/>
          <w:sz w:val="32"/>
          <w:szCs w:val="32"/>
        </w:rPr>
        <w:t>惠城区工业项目</w:t>
      </w:r>
      <w:r>
        <w:rPr>
          <w:rFonts w:hint="eastAsia" w:ascii="仿宋_GB2312" w:hAnsi="宋体" w:eastAsia="仿宋_GB2312" w:cs="宋体"/>
          <w:color w:val="auto"/>
          <w:kern w:val="0"/>
          <w:sz w:val="32"/>
          <w:szCs w:val="32"/>
          <w:lang w:val="en-US" w:eastAsia="zh-CN"/>
        </w:rPr>
        <w:t>实施</w:t>
      </w:r>
      <w:r>
        <w:rPr>
          <w:rFonts w:hint="eastAsia" w:ascii="仿宋_GB2312" w:hAnsi="宋体" w:eastAsia="仿宋_GB2312" w:cs="宋体"/>
          <w:color w:val="auto"/>
          <w:kern w:val="0"/>
          <w:sz w:val="32"/>
          <w:szCs w:val="32"/>
        </w:rPr>
        <w:t>监管协议书》</w:t>
      </w:r>
      <w:r>
        <w:rPr>
          <w:rFonts w:hint="eastAsia" w:ascii="仿宋_GB2312" w:hAnsi="宋体" w:eastAsia="仿宋_GB2312" w:cs="宋体"/>
          <w:kern w:val="0"/>
          <w:sz w:val="32"/>
          <w:szCs w:val="32"/>
          <w:lang w:val="en-US" w:eastAsia="zh-CN"/>
        </w:rPr>
        <w:t>并完成监管协议公证手续。</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七</w:t>
      </w:r>
      <w:r>
        <w:rPr>
          <w:rFonts w:hint="eastAsia" w:ascii="仿宋_GB2312" w:hAnsi="仿宋_GB2312" w:eastAsia="仿宋_GB2312" w:cs="仿宋_GB2312"/>
          <w:color w:val="auto"/>
          <w:sz w:val="32"/>
          <w:szCs w:val="32"/>
        </w:rPr>
        <w:t>）竞得人在签订《成交确认书》前</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须与</w:t>
      </w:r>
      <w:r>
        <w:rPr>
          <w:rFonts w:hint="eastAsia" w:ascii="仿宋_GB2312" w:hAnsi="宋体" w:eastAsia="仿宋_GB2312" w:cs="宋体"/>
          <w:color w:val="auto"/>
          <w:kern w:val="0"/>
          <w:sz w:val="32"/>
          <w:szCs w:val="32"/>
        </w:rPr>
        <w:t>惠城区高新科技产业园管委会</w:t>
      </w:r>
      <w:r>
        <w:rPr>
          <w:rFonts w:hint="eastAsia" w:ascii="仿宋_GB2312" w:hAnsi="仿宋_GB2312" w:eastAsia="仿宋_GB2312" w:cs="仿宋_GB2312"/>
          <w:color w:val="auto"/>
          <w:sz w:val="32"/>
          <w:szCs w:val="32"/>
        </w:rPr>
        <w:t>签订</w:t>
      </w:r>
      <w:r>
        <w:rPr>
          <w:rFonts w:hint="eastAsia" w:ascii="仿宋_GB2312" w:hAnsi="宋体" w:eastAsia="仿宋_GB2312" w:cs="宋体"/>
          <w:color w:val="auto"/>
          <w:kern w:val="0"/>
          <w:sz w:val="32"/>
          <w:szCs w:val="32"/>
        </w:rPr>
        <w:t>《惠城区工业项目</w:t>
      </w:r>
      <w:r>
        <w:rPr>
          <w:rFonts w:hint="eastAsia" w:ascii="仿宋_GB2312" w:hAnsi="宋体" w:eastAsia="仿宋_GB2312" w:cs="宋体"/>
          <w:color w:val="auto"/>
          <w:kern w:val="0"/>
          <w:sz w:val="32"/>
          <w:szCs w:val="32"/>
          <w:lang w:val="en-US" w:eastAsia="zh-CN"/>
        </w:rPr>
        <w:t>实施</w:t>
      </w:r>
      <w:r>
        <w:rPr>
          <w:rFonts w:hint="eastAsia" w:ascii="仿宋_GB2312" w:hAnsi="宋体" w:eastAsia="仿宋_GB2312" w:cs="宋体"/>
          <w:color w:val="auto"/>
          <w:kern w:val="0"/>
          <w:sz w:val="32"/>
          <w:szCs w:val="32"/>
        </w:rPr>
        <w:t>监管协议书》</w:t>
      </w:r>
      <w:r>
        <w:rPr>
          <w:rFonts w:hint="eastAsia" w:ascii="仿宋_GB2312" w:hAnsi="仿宋_GB2312" w:eastAsia="仿宋_GB2312" w:cs="仿宋_GB2312"/>
          <w:color w:val="auto"/>
          <w:sz w:val="32"/>
          <w:szCs w:val="32"/>
        </w:rPr>
        <w:t>，并由</w:t>
      </w:r>
      <w:r>
        <w:rPr>
          <w:rFonts w:hint="eastAsia" w:ascii="仿宋_GB2312" w:hAnsi="宋体" w:eastAsia="仿宋_GB2312" w:cs="宋体"/>
          <w:color w:val="auto"/>
          <w:kern w:val="0"/>
          <w:sz w:val="32"/>
          <w:szCs w:val="32"/>
        </w:rPr>
        <w:t>惠城区高新科技产业园管委会</w:t>
      </w:r>
      <w:r>
        <w:rPr>
          <w:rFonts w:hint="eastAsia" w:ascii="仿宋_GB2312" w:hAnsi="仿宋_GB2312" w:eastAsia="仿宋_GB2312" w:cs="仿宋_GB2312"/>
          <w:color w:val="auto"/>
          <w:sz w:val="32"/>
          <w:szCs w:val="32"/>
        </w:rPr>
        <w:t>对项目用地实施批后监管。</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八</w:t>
      </w:r>
      <w:r>
        <w:rPr>
          <w:rFonts w:hint="eastAsia" w:ascii="仿宋_GB2312" w:hAnsi="仿宋_GB2312" w:eastAsia="仿宋_GB2312" w:cs="仿宋_GB2312"/>
          <w:color w:val="auto"/>
          <w:sz w:val="32"/>
          <w:szCs w:val="32"/>
        </w:rPr>
        <w:t>）竞得人有下列行为之一的，视为违约，取消竞得人资格，</w:t>
      </w:r>
      <w:r>
        <w:rPr>
          <w:rFonts w:hint="eastAsia" w:ascii="仿宋_GB2312" w:hAnsi="仿宋_GB2312" w:eastAsia="仿宋_GB2312" w:cs="仿宋_GB2312"/>
          <w:color w:val="auto"/>
          <w:sz w:val="32"/>
          <w:szCs w:val="32"/>
          <w:lang w:val="en-US" w:eastAsia="zh-CN"/>
        </w:rPr>
        <w:t>定金不予返还</w:t>
      </w:r>
      <w:r>
        <w:rPr>
          <w:rFonts w:hint="eastAsia" w:ascii="仿宋_GB2312" w:hAnsi="仿宋_GB2312" w:eastAsia="仿宋_GB2312" w:cs="仿宋_GB2312"/>
          <w:color w:val="auto"/>
          <w:sz w:val="32"/>
          <w:szCs w:val="32"/>
        </w:rPr>
        <w:t>,并由有关部门依法处理;造成损失的，竞得人还应依法承担赔偿责任：</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1、不符合竞买资格条件的；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2、采取行贿、恶意串通等非法手段竞得的；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3、竞得人以其他非法手段竞得的；</w:t>
      </w:r>
    </w:p>
    <w:p>
      <w:pPr>
        <w:keepNext w:val="0"/>
        <w:keepLines w:val="0"/>
        <w:pageBreakBefore w:val="0"/>
        <w:widowControl w:val="0"/>
        <w:tabs>
          <w:tab w:val="right" w:pos="8386"/>
        </w:tabs>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4、竞得人逾期或拒绝签订《成交确认书》的；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5、竞得人逾期或拒绝签订《出让合同》的；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6、不按本须知规定提供有关纸质文件材料，或提供虚假文件材料、隐瞒重要事实，引起交易纠纷的；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7、构成违约责任的其他行为。</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九</w:t>
      </w:r>
      <w:r>
        <w:rPr>
          <w:rFonts w:hint="eastAsia" w:ascii="仿宋_GB2312" w:hAnsi="仿宋_GB2312" w:eastAsia="仿宋_GB2312" w:cs="仿宋_GB2312"/>
          <w:color w:val="auto"/>
          <w:sz w:val="32"/>
          <w:szCs w:val="32"/>
        </w:rPr>
        <w:t>）挂牌出让价款不含应由竞得人缴纳的契税、印花税等有关费用。</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十</w:t>
      </w:r>
      <w:r>
        <w:rPr>
          <w:rFonts w:hint="eastAsia" w:ascii="仿宋_GB2312" w:hAnsi="仿宋_GB2312" w:eastAsia="仿宋_GB2312" w:cs="仿宋_GB2312"/>
          <w:color w:val="auto"/>
          <w:sz w:val="32"/>
          <w:szCs w:val="32"/>
          <w:lang w:val="en-US" w:eastAsia="zh-CN"/>
        </w:rPr>
        <w:t>三</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联系方式：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（一）惠州市</w:t>
      </w:r>
      <w:r>
        <w:rPr>
          <w:rFonts w:hint="eastAsia" w:ascii="仿宋_GB2312" w:hAnsi="仿宋_GB2312" w:eastAsia="仿宋_GB2312" w:cs="仿宋_GB2312"/>
          <w:color w:val="auto"/>
          <w:sz w:val="32"/>
          <w:szCs w:val="32"/>
          <w:lang w:val="en-US" w:eastAsia="zh-CN"/>
        </w:rPr>
        <w:t>惠城区</w:t>
      </w:r>
      <w:r>
        <w:rPr>
          <w:rFonts w:hint="eastAsia" w:ascii="仿宋_GB2312" w:hAnsi="仿宋_GB2312" w:eastAsia="仿宋_GB2312" w:cs="仿宋_GB2312"/>
          <w:color w:val="auto"/>
          <w:sz w:val="32"/>
          <w:szCs w:val="32"/>
        </w:rPr>
        <w:t>自然资源局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地址：惠州市</w:t>
      </w:r>
      <w:r>
        <w:rPr>
          <w:rFonts w:hint="eastAsia" w:ascii="仿宋_GB2312" w:hAnsi="仿宋_GB2312" w:eastAsia="仿宋_GB2312" w:cs="仿宋_GB2312"/>
          <w:color w:val="auto"/>
          <w:sz w:val="32"/>
          <w:szCs w:val="32"/>
          <w:lang w:val="en-US" w:eastAsia="zh-CN"/>
        </w:rPr>
        <w:t>下埔路16号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联系人：</w:t>
      </w:r>
      <w:r>
        <w:rPr>
          <w:rFonts w:hint="eastAsia" w:ascii="仿宋_GB2312" w:hAnsi="仿宋_GB2312" w:eastAsia="仿宋_GB2312" w:cs="仿宋_GB2312"/>
          <w:color w:val="auto"/>
          <w:sz w:val="32"/>
          <w:szCs w:val="32"/>
          <w:lang w:val="en-US" w:eastAsia="zh-CN"/>
        </w:rPr>
        <w:t>陈先生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联系电话：（0752）</w:t>
      </w:r>
      <w:r>
        <w:rPr>
          <w:rFonts w:hint="eastAsia" w:ascii="仿宋_GB2312" w:hAnsi="仿宋_GB2312" w:eastAsia="仿宋_GB2312" w:cs="仿宋_GB2312"/>
          <w:sz w:val="32"/>
          <w:szCs w:val="32"/>
          <w:lang w:val="en-US" w:eastAsia="zh-CN"/>
        </w:rPr>
        <w:t>2117378</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惠州市公共资源交易中心</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联系地址：广东省惠州市</w:t>
      </w:r>
      <w:r>
        <w:rPr>
          <w:rFonts w:hint="eastAsia" w:ascii="仿宋_GB2312" w:hAnsi="仿宋_GB2312" w:eastAsia="仿宋_GB2312" w:cs="仿宋_GB2312"/>
          <w:sz w:val="32"/>
          <w:szCs w:val="32"/>
          <w:lang w:val="en-US" w:eastAsia="zh-CN"/>
        </w:rPr>
        <w:t>惠城区三新北路31号市民服务中心3号楼</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联系人：袁小姐、</w:t>
      </w:r>
      <w:r>
        <w:rPr>
          <w:rFonts w:hint="eastAsia" w:ascii="仿宋_GB2312" w:hAnsi="仿宋_GB2312" w:eastAsia="仿宋_GB2312" w:cs="仿宋_GB2312"/>
          <w:sz w:val="32"/>
          <w:szCs w:val="32"/>
          <w:lang w:val="en-US" w:eastAsia="zh-CN"/>
        </w:rPr>
        <w:t>杨小姐</w:t>
      </w:r>
    </w:p>
    <w:p>
      <w:pPr>
        <w:keepNext w:val="0"/>
        <w:keepLines w:val="0"/>
        <w:pageBreakBefore w:val="0"/>
        <w:widowControl w:val="0"/>
        <w:kinsoku/>
        <w:wordWrap/>
        <w:overflowPunct/>
        <w:topLinePunct w:val="0"/>
        <w:autoSpaceDE/>
        <w:autoSpaceDN/>
        <w:bidi w:val="0"/>
        <w:spacing w:line="560" w:lineRule="exact"/>
        <w:ind w:left="0" w:leftChars="0" w:firstLine="64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联系电话：（0752）</w:t>
      </w:r>
      <w:r>
        <w:rPr>
          <w:rFonts w:hint="eastAsia" w:ascii="仿宋_GB2312" w:hAnsi="仿宋_GB2312" w:eastAsia="仿宋_GB2312" w:cs="仿宋_GB2312"/>
          <w:sz w:val="32"/>
          <w:szCs w:val="32"/>
          <w:lang w:val="en-US" w:eastAsia="zh-CN"/>
        </w:rPr>
        <w:t>7121026、7121036</w:t>
      </w:r>
    </w:p>
    <w:p>
      <w:pPr>
        <w:keepNext w:val="0"/>
        <w:keepLines w:val="0"/>
        <w:pageBreakBefore w:val="0"/>
        <w:widowControl w:val="0"/>
        <w:kinsoku/>
        <w:wordWrap/>
        <w:overflowPunct/>
        <w:topLinePunct w:val="0"/>
        <w:autoSpaceDE/>
        <w:autoSpaceDN/>
        <w:bidi w:val="0"/>
        <w:spacing w:line="560" w:lineRule="exact"/>
        <w:ind w:left="0" w:leftChars="0" w:firstLine="64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注：本公告同时在下列网站及场所发布</w:t>
      </w:r>
    </w:p>
    <w:p>
      <w:pPr>
        <w:keepNext w:val="0"/>
        <w:keepLines w:val="0"/>
        <w:pageBreakBefore w:val="0"/>
        <w:widowControl w:val="0"/>
        <w:kinsoku/>
        <w:wordWrap/>
        <w:overflowPunct/>
        <w:topLinePunct w:val="0"/>
        <w:autoSpaceDE/>
        <w:autoSpaceDN/>
        <w:bidi w:val="0"/>
        <w:spacing w:line="560" w:lineRule="exact"/>
        <w:ind w:left="0" w:leftChars="0" w:firstLine="64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中国土地市场网: http://www.landchina.com</w:t>
      </w:r>
    </w:p>
    <w:p>
      <w:pPr>
        <w:keepNext w:val="0"/>
        <w:keepLines w:val="0"/>
        <w:pageBreakBefore w:val="0"/>
        <w:widowControl w:val="0"/>
        <w:kinsoku/>
        <w:wordWrap/>
        <w:overflowPunct/>
        <w:topLinePunct w:val="0"/>
        <w:autoSpaceDE/>
        <w:autoSpaceDN/>
        <w:bidi w:val="0"/>
        <w:spacing w:line="560" w:lineRule="exact"/>
        <w:ind w:left="0" w:leftChars="0" w:firstLine="64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广东省土地市场网：</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"http://www.landgd.com"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http://www.landgd.com</w:t>
      </w:r>
      <w:r>
        <w:rPr>
          <w:rFonts w:hint="eastAsia" w:ascii="仿宋_GB2312" w:hAnsi="仿宋_GB2312" w:eastAsia="仿宋_GB2312" w:cs="仿宋_GB2312"/>
          <w:sz w:val="32"/>
          <w:szCs w:val="32"/>
        </w:rPr>
        <w:fldChar w:fldCharType="end"/>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惠州市自然资源局网站：http://land.huizhou.gov.cn</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惠州市公共资源交易中心网：</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"http://zyjy.huizhou.gov.cn"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http://zyjy.huizhou.gov.cn</w:t>
      </w:r>
      <w:r>
        <w:rPr>
          <w:rFonts w:hint="eastAsia" w:ascii="仿宋_GB2312" w:hAnsi="仿宋_GB2312" w:eastAsia="仿宋_GB2312" w:cs="仿宋_GB2312"/>
          <w:sz w:val="32"/>
          <w:szCs w:val="32"/>
        </w:rPr>
        <w:fldChar w:fldCharType="end"/>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惠州市公共资源交易中心交易大厅现场。</w:t>
      </w:r>
    </w:p>
    <w:p>
      <w:pPr>
        <w:keepNext w:val="0"/>
        <w:keepLines w:val="0"/>
        <w:pageBreakBefore w:val="0"/>
        <w:widowControl w:val="0"/>
        <w:kinsoku/>
        <w:wordWrap/>
        <w:overflowPunct/>
        <w:topLinePunct w:val="0"/>
        <w:autoSpaceDE/>
        <w:autoSpaceDN/>
        <w:bidi w:val="0"/>
        <w:spacing w:line="560" w:lineRule="exact"/>
        <w:ind w:left="487" w:leftChars="232"/>
        <w:textAlignment w:val="auto"/>
        <w:rPr>
          <w:rFonts w:ascii="宋体" w:hAnsi="宋体" w:cs="宋体"/>
          <w:color w:val="696969"/>
          <w:sz w:val="32"/>
          <w:szCs w:val="32"/>
        </w:rPr>
      </w:pPr>
      <w:r>
        <w:rPr>
          <w:rFonts w:hint="eastAsia" w:ascii="仿宋_GB2312" w:hAnsi="仿宋_GB2312" w:eastAsia="仿宋_GB2312" w:cs="仿宋_GB2312"/>
          <w:sz w:val="32"/>
          <w:szCs w:val="32"/>
        </w:rPr>
        <w:t>数字证书办理地址：</w:t>
      </w:r>
      <w:r>
        <w:rPr>
          <w:rFonts w:hint="eastAsia" w:ascii="仿宋_GB2312" w:hAnsi="仿宋_GB2312" w:eastAsia="仿宋_GB2312" w:cs="仿宋_GB2312"/>
          <w:color w:val="000000"/>
          <w:sz w:val="32"/>
          <w:szCs w:val="32"/>
        </w:rPr>
        <w:t>惠州市江北云山西路二号帝景国际商务中心七层18-22房。</w:t>
      </w:r>
    </w:p>
    <w:p>
      <w:pPr>
        <w:keepNext w:val="0"/>
        <w:keepLines w:val="0"/>
        <w:pageBreakBefore w:val="0"/>
        <w:widowControl w:val="0"/>
        <w:kinsoku/>
        <w:wordWrap/>
        <w:overflowPunct/>
        <w:topLinePunct w:val="0"/>
        <w:autoSpaceDE/>
        <w:autoSpaceDN/>
        <w:bidi w:val="0"/>
        <w:spacing w:line="560" w:lineRule="exact"/>
        <w:ind w:firstLine="555"/>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联系电话：0752-2898481</w:t>
      </w:r>
    </w:p>
    <w:p>
      <w:pPr>
        <w:keepNext w:val="0"/>
        <w:keepLines w:val="0"/>
        <w:pageBreakBefore w:val="0"/>
        <w:widowControl w:val="0"/>
        <w:kinsoku/>
        <w:wordWrap/>
        <w:overflowPunct/>
        <w:topLinePunct w:val="0"/>
        <w:autoSpaceDE/>
        <w:autoSpaceDN/>
        <w:bidi w:val="0"/>
        <w:spacing w:line="560" w:lineRule="exact"/>
        <w:ind w:right="64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spacing w:line="560" w:lineRule="exact"/>
        <w:ind w:right="640" w:firstLine="5033" w:firstLineChars="1573"/>
        <w:textAlignment w:val="auto"/>
        <w:rPr>
          <w:rFonts w:hint="eastAsia" w:ascii="仿宋_GB2312" w:hAnsi="仿宋_GB2312" w:eastAsia="仿宋_GB2312" w:cs="仿宋_GB2312"/>
          <w:sz w:val="32"/>
          <w:szCs w:val="32"/>
        </w:rPr>
      </w:pPr>
    </w:p>
    <w:p>
      <w:pPr>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惠州市</w:t>
      </w:r>
      <w:r>
        <w:rPr>
          <w:rFonts w:hint="eastAsia" w:ascii="仿宋_GB2312" w:hAnsi="仿宋_GB2312" w:eastAsia="仿宋_GB2312" w:cs="仿宋_GB2312"/>
          <w:sz w:val="32"/>
          <w:szCs w:val="32"/>
          <w:lang w:eastAsia="zh-CN"/>
        </w:rPr>
        <w:t>惠城区</w:t>
      </w:r>
      <w:r>
        <w:rPr>
          <w:rFonts w:hint="eastAsia" w:ascii="仿宋_GB2312" w:hAnsi="仿宋_GB2312" w:eastAsia="仿宋_GB2312" w:cs="仿宋_GB2312"/>
          <w:sz w:val="32"/>
          <w:szCs w:val="32"/>
        </w:rPr>
        <w:t>自然资源局</w:t>
      </w:r>
    </w:p>
    <w:p>
      <w:pPr>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惠州市公共资源交易中心</w:t>
      </w:r>
    </w:p>
    <w:p>
      <w:pPr>
        <w:spacing w:line="360" w:lineRule="auto"/>
        <w:ind w:firstLine="5120" w:firstLineChars="1600"/>
        <w:jc w:val="both"/>
        <w:rPr>
          <w:rFonts w:hint="default" w:ascii="仿宋_GB2312" w:hAnsi="仿宋_GB2312" w:eastAsia="仿宋_GB2312" w:cs="仿宋_GB2312"/>
          <w:sz w:val="32"/>
          <w:szCs w:val="32"/>
          <w:lang w:val="en-US" w:eastAsia="zh-CN"/>
        </w:rPr>
        <w:sectPr>
          <w:headerReference r:id="rId3" w:type="default"/>
          <w:footerReference r:id="rId4" w:type="default"/>
          <w:footerReference r:id="rId5" w:type="even"/>
          <w:pgSz w:w="11906" w:h="16838"/>
          <w:pgMar w:top="1440" w:right="1440" w:bottom="1440" w:left="1440" w:header="851" w:footer="992" w:gutter="0"/>
          <w:pgNumType w:fmt="numberInDash"/>
          <w:cols w:space="720" w:num="1"/>
          <w:docGrid w:type="lines" w:linePitch="312" w:charSpace="0"/>
        </w:sectPr>
      </w:pPr>
      <w:r>
        <w:rPr>
          <w:rFonts w:hint="eastAsia" w:ascii="仿宋_GB2312" w:hAnsi="仿宋_GB2312" w:eastAsia="仿宋_GB2312" w:cs="仿宋_GB2312"/>
          <w:sz w:val="32"/>
          <w:szCs w:val="32"/>
          <w:lang w:val="en-US" w:eastAsia="zh-CN"/>
        </w:rPr>
        <w:t>2021年8月10日</w:t>
      </w:r>
    </w:p>
    <w:p>
      <w:pPr>
        <w:spacing w:line="360" w:lineRule="auto"/>
        <w:rPr>
          <w:rFonts w:hint="eastAsia" w:ascii="黑体" w:hAnsi="黑体" w:eastAsia="黑体"/>
          <w:sz w:val="32"/>
          <w:szCs w:val="32"/>
        </w:rPr>
      </w:pPr>
      <w:r>
        <w:rPr>
          <w:rFonts w:hint="eastAsia" w:ascii="黑体" w:hAnsi="黑体" w:eastAsia="黑体"/>
          <w:sz w:val="32"/>
          <w:szCs w:val="32"/>
        </w:rPr>
        <w:t>附表</w:t>
      </w:r>
    </w:p>
    <w:p>
      <w:pPr>
        <w:tabs>
          <w:tab w:val="left" w:pos="9720"/>
        </w:tabs>
        <w:spacing w:line="360" w:lineRule="auto"/>
        <w:jc w:val="center"/>
        <w:rPr>
          <w:rFonts w:hint="eastAsia" w:ascii="方正小标宋_GBK" w:eastAsia="方正小标宋_GBK"/>
          <w:b/>
          <w:sz w:val="36"/>
          <w:szCs w:val="36"/>
        </w:rPr>
      </w:pPr>
      <w:r>
        <w:rPr>
          <w:rFonts w:hint="eastAsia" w:ascii="方正小标宋_GBK" w:eastAsia="方正小标宋_GBK"/>
          <w:b/>
          <w:sz w:val="36"/>
          <w:szCs w:val="36"/>
        </w:rPr>
        <w:t>网上挂牌出让地块规划建设指标</w:t>
      </w:r>
    </w:p>
    <w:p>
      <w:pPr>
        <w:pStyle w:val="2"/>
        <w:rPr>
          <w:rFonts w:hint="eastAsia"/>
        </w:rPr>
      </w:pPr>
    </w:p>
    <w:tbl>
      <w:tblPr>
        <w:tblStyle w:val="9"/>
        <w:tblW w:w="109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690"/>
        <w:gridCol w:w="615"/>
        <w:gridCol w:w="570"/>
        <w:gridCol w:w="774"/>
        <w:gridCol w:w="948"/>
        <w:gridCol w:w="720"/>
        <w:gridCol w:w="672"/>
        <w:gridCol w:w="1650"/>
        <w:gridCol w:w="1087"/>
        <w:gridCol w:w="900"/>
        <w:gridCol w:w="979"/>
        <w:gridCol w:w="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6" w:hRule="atLeast"/>
          <w:jc w:val="center"/>
        </w:trPr>
        <w:tc>
          <w:tcPr>
            <w:tcW w:w="705" w:type="dxa"/>
            <w:vMerge w:val="restart"/>
            <w:vAlign w:val="center"/>
          </w:tcPr>
          <w:p>
            <w:pPr>
              <w:spacing w:line="320" w:lineRule="exact"/>
              <w:jc w:val="center"/>
              <w:rPr>
                <w:rFonts w:hint="eastAsia" w:ascii="仿宋_GB2312" w:eastAsia="仿宋_GB2312"/>
                <w:b/>
                <w:bCs/>
                <w:szCs w:val="21"/>
              </w:rPr>
            </w:pPr>
            <w:r>
              <w:rPr>
                <w:rFonts w:hint="eastAsia" w:ascii="仿宋_GB2312" w:eastAsia="仿宋_GB2312"/>
                <w:b/>
                <w:bCs/>
                <w:szCs w:val="21"/>
              </w:rPr>
              <w:t>挂牌地块编号</w:t>
            </w:r>
          </w:p>
        </w:tc>
        <w:tc>
          <w:tcPr>
            <w:tcW w:w="690" w:type="dxa"/>
            <w:vMerge w:val="restart"/>
            <w:vAlign w:val="center"/>
          </w:tcPr>
          <w:p>
            <w:pPr>
              <w:spacing w:line="320" w:lineRule="exact"/>
              <w:jc w:val="center"/>
              <w:rPr>
                <w:rFonts w:hint="eastAsia" w:ascii="仿宋_GB2312" w:eastAsia="仿宋_GB2312"/>
                <w:b/>
                <w:bCs/>
                <w:szCs w:val="21"/>
              </w:rPr>
            </w:pPr>
            <w:r>
              <w:rPr>
                <w:rFonts w:hint="eastAsia" w:ascii="仿宋_GB2312" w:eastAsia="仿宋_GB2312"/>
                <w:b/>
                <w:bCs/>
                <w:szCs w:val="21"/>
              </w:rPr>
              <w:t>土地</w:t>
            </w:r>
          </w:p>
          <w:p>
            <w:pPr>
              <w:spacing w:line="320" w:lineRule="exact"/>
              <w:jc w:val="center"/>
              <w:rPr>
                <w:rFonts w:hint="eastAsia" w:ascii="仿宋_GB2312" w:eastAsia="仿宋_GB2312"/>
                <w:b/>
                <w:bCs/>
                <w:szCs w:val="21"/>
              </w:rPr>
            </w:pPr>
            <w:r>
              <w:rPr>
                <w:rFonts w:hint="eastAsia" w:ascii="仿宋_GB2312" w:eastAsia="仿宋_GB2312"/>
                <w:b/>
                <w:bCs/>
                <w:szCs w:val="21"/>
              </w:rPr>
              <w:t>位置</w:t>
            </w:r>
          </w:p>
        </w:tc>
        <w:tc>
          <w:tcPr>
            <w:tcW w:w="615" w:type="dxa"/>
            <w:vMerge w:val="restart"/>
            <w:vAlign w:val="center"/>
          </w:tcPr>
          <w:p>
            <w:pPr>
              <w:adjustRightInd w:val="0"/>
              <w:snapToGrid w:val="0"/>
              <w:spacing w:line="320" w:lineRule="exact"/>
              <w:jc w:val="center"/>
              <w:rPr>
                <w:rFonts w:hint="eastAsia" w:ascii="仿宋_GB2312" w:eastAsia="仿宋_GB2312"/>
                <w:b/>
                <w:bCs/>
                <w:szCs w:val="21"/>
              </w:rPr>
            </w:pPr>
            <w:r>
              <w:rPr>
                <w:rFonts w:hint="eastAsia" w:ascii="仿宋_GB2312" w:eastAsia="仿宋_GB2312"/>
                <w:b/>
                <w:bCs/>
                <w:szCs w:val="21"/>
                <w:lang w:val="en-US" w:eastAsia="zh-CN"/>
              </w:rPr>
              <w:t>地块</w:t>
            </w:r>
            <w:r>
              <w:rPr>
                <w:rFonts w:hint="eastAsia" w:ascii="仿宋_GB2312" w:eastAsia="仿宋_GB2312"/>
                <w:b/>
                <w:bCs/>
                <w:szCs w:val="21"/>
              </w:rPr>
              <w:t>编号</w:t>
            </w:r>
          </w:p>
        </w:tc>
        <w:tc>
          <w:tcPr>
            <w:tcW w:w="570" w:type="dxa"/>
            <w:vMerge w:val="restart"/>
            <w:vAlign w:val="center"/>
          </w:tcPr>
          <w:p>
            <w:pPr>
              <w:adjustRightInd w:val="0"/>
              <w:snapToGrid w:val="0"/>
              <w:spacing w:line="320" w:lineRule="exact"/>
              <w:jc w:val="center"/>
              <w:rPr>
                <w:rFonts w:hint="eastAsia" w:ascii="仿宋_GB2312" w:eastAsia="仿宋_GB2312"/>
                <w:b/>
                <w:bCs/>
                <w:szCs w:val="21"/>
              </w:rPr>
            </w:pPr>
            <w:r>
              <w:rPr>
                <w:rFonts w:hint="eastAsia" w:ascii="仿宋_GB2312" w:eastAsia="仿宋_GB2312"/>
                <w:b/>
                <w:bCs/>
                <w:szCs w:val="21"/>
              </w:rPr>
              <w:t>土地</w:t>
            </w:r>
          </w:p>
          <w:p>
            <w:pPr>
              <w:adjustRightInd w:val="0"/>
              <w:snapToGrid w:val="0"/>
              <w:spacing w:line="320" w:lineRule="exact"/>
              <w:jc w:val="center"/>
              <w:rPr>
                <w:rFonts w:hint="eastAsia" w:ascii="仿宋_GB2312" w:eastAsia="仿宋_GB2312"/>
                <w:b/>
                <w:bCs/>
                <w:szCs w:val="21"/>
              </w:rPr>
            </w:pPr>
            <w:r>
              <w:rPr>
                <w:rFonts w:hint="eastAsia" w:ascii="仿宋_GB2312" w:eastAsia="仿宋_GB2312"/>
                <w:b/>
                <w:bCs/>
                <w:szCs w:val="21"/>
              </w:rPr>
              <w:t>用途</w:t>
            </w:r>
          </w:p>
        </w:tc>
        <w:tc>
          <w:tcPr>
            <w:tcW w:w="774" w:type="dxa"/>
            <w:vMerge w:val="restart"/>
            <w:vAlign w:val="center"/>
          </w:tcPr>
          <w:p>
            <w:pPr>
              <w:spacing w:line="320" w:lineRule="exact"/>
              <w:jc w:val="center"/>
              <w:rPr>
                <w:rFonts w:hint="eastAsia" w:ascii="仿宋_GB2312" w:eastAsia="仿宋_GB2312"/>
                <w:b/>
                <w:bCs/>
                <w:szCs w:val="21"/>
              </w:rPr>
            </w:pPr>
            <w:r>
              <w:rPr>
                <w:rFonts w:hint="eastAsia" w:ascii="仿宋_GB2312" w:eastAsia="仿宋_GB2312"/>
                <w:b/>
                <w:bCs/>
                <w:szCs w:val="21"/>
              </w:rPr>
              <w:t>宗地使用权面积（</w:t>
            </w:r>
            <w:r>
              <w:rPr>
                <w:rFonts w:hint="eastAsia" w:ascii="宋体" w:hAnsi="宋体" w:cs="宋体"/>
                <w:b/>
                <w:bCs/>
                <w:szCs w:val="21"/>
              </w:rPr>
              <w:t>㎡</w:t>
            </w:r>
            <w:r>
              <w:rPr>
                <w:rFonts w:hint="eastAsia" w:ascii="仿宋_GB2312" w:eastAsia="仿宋_GB2312"/>
                <w:b/>
                <w:bCs/>
                <w:szCs w:val="21"/>
              </w:rPr>
              <w:t>）</w:t>
            </w:r>
          </w:p>
        </w:tc>
        <w:tc>
          <w:tcPr>
            <w:tcW w:w="6956" w:type="dxa"/>
            <w:gridSpan w:val="7"/>
            <w:vAlign w:val="center"/>
          </w:tcPr>
          <w:p>
            <w:pPr>
              <w:adjustRightInd w:val="0"/>
              <w:snapToGrid w:val="0"/>
              <w:spacing w:line="320" w:lineRule="exact"/>
              <w:ind w:left="1" w:leftChars="-89" w:hanging="188" w:hangingChars="89"/>
              <w:jc w:val="center"/>
              <w:rPr>
                <w:rFonts w:hint="eastAsia" w:ascii="仿宋_GB2312" w:eastAsia="仿宋_GB2312"/>
                <w:b/>
                <w:bCs/>
                <w:szCs w:val="21"/>
              </w:rPr>
            </w:pPr>
            <w:r>
              <w:rPr>
                <w:rFonts w:hint="eastAsia" w:ascii="仿宋_GB2312" w:eastAsia="仿宋_GB2312"/>
                <w:b/>
                <w:bCs/>
                <w:szCs w:val="21"/>
              </w:rPr>
              <w:t>规划指标要求</w:t>
            </w:r>
          </w:p>
        </w:tc>
        <w:tc>
          <w:tcPr>
            <w:tcW w:w="670" w:type="dxa"/>
            <w:vMerge w:val="restart"/>
            <w:vAlign w:val="center"/>
          </w:tcPr>
          <w:p>
            <w:pPr>
              <w:autoSpaceDE w:val="0"/>
              <w:autoSpaceDN w:val="0"/>
              <w:adjustRightInd w:val="0"/>
              <w:spacing w:line="240" w:lineRule="exact"/>
              <w:jc w:val="center"/>
              <w:rPr>
                <w:rFonts w:hint="eastAsia" w:ascii="仿宋_GB2312" w:eastAsia="仿宋_GB2312"/>
                <w:b/>
                <w:bCs/>
              </w:rPr>
            </w:pPr>
            <w:r>
              <w:rPr>
                <w:rFonts w:hint="eastAsia" w:ascii="仿宋_GB2312" w:eastAsia="仿宋_GB2312"/>
                <w:b/>
                <w:bCs/>
              </w:rPr>
              <w:t>出让年限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12" w:hRule="atLeast"/>
          <w:jc w:val="center"/>
        </w:trPr>
        <w:tc>
          <w:tcPr>
            <w:tcW w:w="705" w:type="dxa"/>
            <w:vMerge w:val="continue"/>
            <w:vAlign w:val="center"/>
          </w:tcPr>
          <w:p>
            <w:pPr>
              <w:adjustRightInd w:val="0"/>
              <w:snapToGrid w:val="0"/>
              <w:spacing w:line="320" w:lineRule="exact"/>
              <w:jc w:val="center"/>
              <w:rPr>
                <w:rFonts w:hint="eastAsia" w:ascii="仿宋_GB2312" w:eastAsia="仿宋_GB2312"/>
                <w:b/>
                <w:bCs/>
              </w:rPr>
            </w:pPr>
          </w:p>
        </w:tc>
        <w:tc>
          <w:tcPr>
            <w:tcW w:w="690" w:type="dxa"/>
            <w:vMerge w:val="continue"/>
            <w:vAlign w:val="center"/>
          </w:tcPr>
          <w:p>
            <w:pPr>
              <w:adjustRightInd w:val="0"/>
              <w:snapToGrid w:val="0"/>
              <w:spacing w:line="320" w:lineRule="exact"/>
              <w:jc w:val="center"/>
              <w:rPr>
                <w:rFonts w:hint="eastAsia" w:ascii="仿宋_GB2312" w:eastAsia="仿宋_GB2312"/>
                <w:b/>
                <w:bCs/>
              </w:rPr>
            </w:pPr>
          </w:p>
        </w:tc>
        <w:tc>
          <w:tcPr>
            <w:tcW w:w="615" w:type="dxa"/>
            <w:vMerge w:val="continue"/>
            <w:vAlign w:val="center"/>
          </w:tcPr>
          <w:p>
            <w:pPr>
              <w:adjustRightInd w:val="0"/>
              <w:snapToGrid w:val="0"/>
              <w:spacing w:line="320" w:lineRule="exact"/>
              <w:jc w:val="center"/>
              <w:rPr>
                <w:rFonts w:hint="eastAsia" w:ascii="仿宋_GB2312" w:eastAsia="仿宋_GB2312"/>
                <w:b/>
                <w:bCs/>
              </w:rPr>
            </w:pPr>
          </w:p>
        </w:tc>
        <w:tc>
          <w:tcPr>
            <w:tcW w:w="570" w:type="dxa"/>
            <w:vMerge w:val="continue"/>
            <w:vAlign w:val="center"/>
          </w:tcPr>
          <w:p>
            <w:pPr>
              <w:adjustRightInd w:val="0"/>
              <w:snapToGrid w:val="0"/>
              <w:spacing w:line="320" w:lineRule="exact"/>
              <w:jc w:val="center"/>
              <w:rPr>
                <w:rFonts w:hint="eastAsia" w:ascii="仿宋_GB2312" w:eastAsia="仿宋_GB2312"/>
                <w:b/>
                <w:bCs/>
              </w:rPr>
            </w:pPr>
          </w:p>
        </w:tc>
        <w:tc>
          <w:tcPr>
            <w:tcW w:w="774" w:type="dxa"/>
            <w:vMerge w:val="continue"/>
            <w:vAlign w:val="center"/>
          </w:tcPr>
          <w:p>
            <w:pPr>
              <w:adjustRightInd w:val="0"/>
              <w:snapToGrid w:val="0"/>
              <w:spacing w:line="320" w:lineRule="exact"/>
              <w:jc w:val="center"/>
              <w:rPr>
                <w:rFonts w:hint="eastAsia" w:ascii="仿宋_GB2312" w:eastAsia="仿宋_GB2312"/>
                <w:b/>
                <w:bCs/>
              </w:rPr>
            </w:pPr>
          </w:p>
        </w:tc>
        <w:tc>
          <w:tcPr>
            <w:tcW w:w="948" w:type="dxa"/>
            <w:vAlign w:val="center"/>
          </w:tcPr>
          <w:p>
            <w:pPr>
              <w:spacing w:line="320" w:lineRule="exact"/>
              <w:jc w:val="center"/>
              <w:rPr>
                <w:rFonts w:hint="eastAsia" w:ascii="仿宋_GB2312" w:eastAsia="仿宋_GB2312"/>
                <w:b/>
                <w:bCs/>
                <w:szCs w:val="21"/>
              </w:rPr>
            </w:pPr>
            <w:r>
              <w:rPr>
                <w:rFonts w:hint="eastAsia" w:ascii="仿宋_GB2312" w:eastAsia="仿宋_GB2312"/>
                <w:b/>
                <w:bCs/>
                <w:szCs w:val="21"/>
              </w:rPr>
              <w:t>计算指标用地面积（</w:t>
            </w:r>
            <w:r>
              <w:rPr>
                <w:rFonts w:hint="eastAsia" w:ascii="宋体" w:hAnsi="宋体" w:cs="宋体"/>
                <w:b/>
                <w:bCs/>
                <w:szCs w:val="21"/>
              </w:rPr>
              <w:t>㎡</w:t>
            </w:r>
            <w:r>
              <w:rPr>
                <w:rFonts w:hint="eastAsia" w:ascii="仿宋_GB2312" w:eastAsia="仿宋_GB2312"/>
                <w:b/>
                <w:bCs/>
                <w:szCs w:val="21"/>
              </w:rPr>
              <w:t>）</w:t>
            </w:r>
          </w:p>
        </w:tc>
        <w:tc>
          <w:tcPr>
            <w:tcW w:w="720" w:type="dxa"/>
            <w:vAlign w:val="center"/>
          </w:tcPr>
          <w:p>
            <w:pPr>
              <w:autoSpaceDE w:val="0"/>
              <w:autoSpaceDN w:val="0"/>
              <w:adjustRightInd w:val="0"/>
              <w:spacing w:line="240" w:lineRule="exact"/>
              <w:jc w:val="center"/>
              <w:rPr>
                <w:rFonts w:hint="eastAsia" w:eastAsia="仿宋_GB2312"/>
                <w:b/>
                <w:szCs w:val="21"/>
                <w:lang w:eastAsia="zh-CN"/>
              </w:rPr>
            </w:pPr>
            <w:r>
              <w:rPr>
                <w:rFonts w:hint="eastAsia" w:eastAsia="仿宋_GB2312"/>
                <w:b/>
                <w:szCs w:val="21"/>
              </w:rPr>
              <w:t>建筑</w:t>
            </w:r>
            <w:r>
              <w:rPr>
                <w:rFonts w:hint="eastAsia" w:eastAsia="仿宋_GB2312"/>
                <w:b/>
                <w:szCs w:val="21"/>
                <w:lang w:val="en-US" w:eastAsia="zh-CN"/>
              </w:rPr>
              <w:t>系数</w:t>
            </w:r>
          </w:p>
          <w:p>
            <w:pPr>
              <w:autoSpaceDE w:val="0"/>
              <w:autoSpaceDN w:val="0"/>
              <w:adjustRightInd w:val="0"/>
              <w:spacing w:line="240" w:lineRule="exact"/>
              <w:jc w:val="center"/>
              <w:rPr>
                <w:rFonts w:hint="eastAsia" w:ascii="仿宋_GB2312" w:eastAsia="仿宋_GB2312"/>
                <w:b/>
                <w:bCs/>
                <w:szCs w:val="21"/>
              </w:rPr>
            </w:pPr>
            <w:r>
              <w:rPr>
                <w:rFonts w:hint="eastAsia" w:ascii="宋体" w:hAnsi="宋体" w:cs="宋体"/>
                <w:b/>
                <w:szCs w:val="21"/>
              </w:rPr>
              <w:t>（％）</w:t>
            </w:r>
          </w:p>
        </w:tc>
        <w:tc>
          <w:tcPr>
            <w:tcW w:w="672" w:type="dxa"/>
            <w:vAlign w:val="center"/>
          </w:tcPr>
          <w:p>
            <w:pPr>
              <w:autoSpaceDE w:val="0"/>
              <w:autoSpaceDN w:val="0"/>
              <w:adjustRightInd w:val="0"/>
              <w:spacing w:line="240" w:lineRule="exact"/>
              <w:jc w:val="center"/>
              <w:rPr>
                <w:rFonts w:hint="eastAsia" w:ascii="仿宋_GB2312" w:eastAsia="仿宋_GB2312"/>
                <w:b/>
                <w:bCs/>
                <w:szCs w:val="21"/>
              </w:rPr>
            </w:pPr>
            <w:r>
              <w:rPr>
                <w:rFonts w:hint="eastAsia" w:ascii="仿宋_GB2312" w:eastAsia="仿宋_GB2312"/>
                <w:b/>
                <w:bCs/>
                <w:szCs w:val="21"/>
              </w:rPr>
              <w:t>容积率</w:t>
            </w:r>
          </w:p>
        </w:tc>
        <w:tc>
          <w:tcPr>
            <w:tcW w:w="1650" w:type="dxa"/>
            <w:vAlign w:val="center"/>
          </w:tcPr>
          <w:p>
            <w:pPr>
              <w:spacing w:line="320" w:lineRule="exact"/>
              <w:ind w:left="44" w:right="-53" w:rightChars="-25" w:hanging="44" w:hangingChars="21"/>
              <w:jc w:val="center"/>
              <w:rPr>
                <w:rFonts w:hint="eastAsia" w:ascii="仿宋_GB2312" w:eastAsia="仿宋_GB2312"/>
                <w:b/>
                <w:bCs/>
                <w:szCs w:val="21"/>
              </w:rPr>
            </w:pPr>
            <w:r>
              <w:rPr>
                <w:rFonts w:hint="eastAsia" w:ascii="仿宋_GB2312" w:eastAsia="仿宋_GB2312"/>
                <w:b/>
                <w:bCs/>
                <w:szCs w:val="21"/>
              </w:rPr>
              <w:t>计容积率建筑面积（</w:t>
            </w:r>
            <w:r>
              <w:rPr>
                <w:rFonts w:hint="eastAsia" w:ascii="宋体" w:hAnsi="宋体" w:cs="宋体"/>
                <w:b/>
                <w:bCs/>
                <w:szCs w:val="21"/>
              </w:rPr>
              <w:t>㎡</w:t>
            </w:r>
            <w:r>
              <w:rPr>
                <w:rFonts w:hint="eastAsia" w:ascii="仿宋_GB2312" w:eastAsia="仿宋_GB2312"/>
                <w:b/>
                <w:bCs/>
                <w:szCs w:val="21"/>
              </w:rPr>
              <w:t>）</w:t>
            </w:r>
          </w:p>
        </w:tc>
        <w:tc>
          <w:tcPr>
            <w:tcW w:w="1087" w:type="dxa"/>
            <w:vAlign w:val="center"/>
          </w:tcPr>
          <w:p>
            <w:pPr>
              <w:autoSpaceDE w:val="0"/>
              <w:autoSpaceDN w:val="0"/>
              <w:adjustRightInd w:val="0"/>
              <w:spacing w:line="240" w:lineRule="exact"/>
              <w:jc w:val="center"/>
              <w:rPr>
                <w:rFonts w:hint="eastAsia" w:ascii="仿宋_GB2312" w:eastAsia="仿宋_GB2312"/>
                <w:b/>
                <w:bCs/>
              </w:rPr>
            </w:pPr>
            <w:r>
              <w:rPr>
                <w:rFonts w:hint="eastAsia" w:eastAsia="仿宋_GB2312"/>
                <w:b/>
                <w:szCs w:val="21"/>
              </w:rPr>
              <w:t>机动车停车位配建标准</w:t>
            </w:r>
          </w:p>
        </w:tc>
        <w:tc>
          <w:tcPr>
            <w:tcW w:w="900" w:type="dxa"/>
            <w:vAlign w:val="center"/>
          </w:tcPr>
          <w:p>
            <w:pPr>
              <w:autoSpaceDE w:val="0"/>
              <w:autoSpaceDN w:val="0"/>
              <w:adjustRightInd w:val="0"/>
              <w:spacing w:line="240" w:lineRule="exact"/>
              <w:jc w:val="center"/>
              <w:rPr>
                <w:rFonts w:hint="eastAsia" w:eastAsia="仿宋_GB2312"/>
                <w:b/>
                <w:szCs w:val="21"/>
              </w:rPr>
            </w:pPr>
            <w:r>
              <w:rPr>
                <w:rFonts w:hint="eastAsia" w:eastAsia="仿宋_GB2312"/>
                <w:b/>
                <w:szCs w:val="21"/>
              </w:rPr>
              <w:t>绿地率</w:t>
            </w:r>
          </w:p>
          <w:p>
            <w:pPr>
              <w:autoSpaceDE w:val="0"/>
              <w:autoSpaceDN w:val="0"/>
              <w:adjustRightInd w:val="0"/>
              <w:spacing w:line="240" w:lineRule="exact"/>
              <w:jc w:val="center"/>
              <w:rPr>
                <w:rFonts w:hint="eastAsia" w:eastAsia="仿宋_GB2312"/>
                <w:b/>
                <w:szCs w:val="21"/>
              </w:rPr>
            </w:pPr>
            <w:r>
              <w:rPr>
                <w:rFonts w:hint="eastAsia" w:ascii="宋体" w:hAnsi="宋体" w:cs="宋体"/>
                <w:b/>
                <w:szCs w:val="21"/>
              </w:rPr>
              <w:t>（％）</w:t>
            </w:r>
          </w:p>
        </w:tc>
        <w:tc>
          <w:tcPr>
            <w:tcW w:w="979" w:type="dxa"/>
            <w:vAlign w:val="center"/>
          </w:tcPr>
          <w:p>
            <w:pPr>
              <w:autoSpaceDE w:val="0"/>
              <w:autoSpaceDN w:val="0"/>
              <w:adjustRightInd w:val="0"/>
              <w:spacing w:line="240" w:lineRule="exact"/>
              <w:jc w:val="center"/>
              <w:rPr>
                <w:rFonts w:hint="eastAsia" w:ascii="仿宋_GB2312" w:eastAsia="仿宋_GB2312"/>
                <w:b/>
                <w:bCs/>
                <w:szCs w:val="21"/>
                <w:lang w:eastAsia="zh-CN"/>
              </w:rPr>
            </w:pPr>
            <w:r>
              <w:rPr>
                <w:rFonts w:hint="eastAsia" w:ascii="仿宋_GB2312" w:eastAsia="仿宋_GB2312"/>
                <w:b/>
                <w:bCs/>
                <w:szCs w:val="21"/>
                <w:lang w:eastAsia="zh-CN"/>
              </w:rPr>
              <w:t>产业</w:t>
            </w:r>
          </w:p>
          <w:p>
            <w:pPr>
              <w:autoSpaceDE w:val="0"/>
              <w:autoSpaceDN w:val="0"/>
              <w:adjustRightInd w:val="0"/>
              <w:spacing w:line="240" w:lineRule="exact"/>
              <w:jc w:val="center"/>
              <w:rPr>
                <w:rFonts w:hint="eastAsia" w:ascii="仿宋_GB2312" w:eastAsia="仿宋_GB2312"/>
                <w:b/>
                <w:bCs/>
                <w:lang w:eastAsia="zh-CN"/>
              </w:rPr>
            </w:pPr>
            <w:r>
              <w:rPr>
                <w:rFonts w:hint="eastAsia" w:ascii="仿宋_GB2312" w:eastAsia="仿宋_GB2312"/>
                <w:b/>
                <w:bCs/>
                <w:szCs w:val="21"/>
                <w:lang w:eastAsia="zh-CN"/>
              </w:rPr>
              <w:t>类型</w:t>
            </w:r>
          </w:p>
        </w:tc>
        <w:tc>
          <w:tcPr>
            <w:tcW w:w="670" w:type="dxa"/>
            <w:vMerge w:val="continue"/>
            <w:vAlign w:val="center"/>
          </w:tcPr>
          <w:p>
            <w:pPr>
              <w:autoSpaceDE w:val="0"/>
              <w:autoSpaceDN w:val="0"/>
              <w:adjustRightInd w:val="0"/>
              <w:spacing w:line="240" w:lineRule="exact"/>
              <w:jc w:val="center"/>
              <w:rPr>
                <w:rFonts w:hint="eastAsia" w:ascii="仿宋_GB2312" w:eastAsia="仿宋_GB2312"/>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116" w:hRule="atLeast"/>
          <w:jc w:val="center"/>
        </w:trPr>
        <w:tc>
          <w:tcPr>
            <w:tcW w:w="705" w:type="dxa"/>
            <w:tcMar>
              <w:left w:w="0" w:type="dxa"/>
              <w:right w:w="0" w:type="dxa"/>
            </w:tcMar>
            <w:vAlign w:val="center"/>
          </w:tcPr>
          <w:p>
            <w:pPr>
              <w:jc w:val="center"/>
              <w:rPr>
                <w:rFonts w:hint="default" w:ascii="仿宋_GB2312" w:hAnsi="Times New Roman" w:eastAsia="仿宋_GB2312"/>
                <w:szCs w:val="21"/>
                <w:lang w:val="en-US" w:eastAsia="zh-CN"/>
              </w:rPr>
            </w:pPr>
            <w:r>
              <w:rPr>
                <w:rFonts w:hint="eastAsia" w:ascii="仿宋_GB2312" w:hAnsi="Times New Roman" w:eastAsia="仿宋_GB2312"/>
                <w:szCs w:val="21"/>
                <w:lang w:val="en-US" w:eastAsia="zh-CN"/>
              </w:rPr>
              <w:t>GP2021-23</w:t>
            </w:r>
            <w:bookmarkStart w:id="0" w:name="_GoBack"/>
            <w:bookmarkEnd w:id="0"/>
          </w:p>
        </w:tc>
        <w:tc>
          <w:tcPr>
            <w:tcW w:w="690" w:type="dxa"/>
            <w:vAlign w:val="center"/>
          </w:tcPr>
          <w:p>
            <w:pPr>
              <w:jc w:val="center"/>
              <w:rPr>
                <w:rFonts w:hint="default" w:ascii="仿宋_GB2312" w:hAnsi="Times New Roman" w:eastAsia="仿宋_GB2312"/>
                <w:szCs w:val="21"/>
                <w:lang w:val="en-US" w:eastAsia="zh-CN"/>
              </w:rPr>
            </w:pPr>
            <w:r>
              <w:rPr>
                <w:rFonts w:hint="eastAsia" w:ascii="仿宋_GB2312" w:hAnsi="Times New Roman" w:eastAsia="仿宋_GB2312" w:cs="Times New Roman"/>
                <w:szCs w:val="21"/>
                <w:lang w:val="en-US" w:eastAsia="zh-CN"/>
              </w:rPr>
              <w:t>惠城区水口荔枝城片区JD141-06地块</w:t>
            </w:r>
          </w:p>
        </w:tc>
        <w:tc>
          <w:tcPr>
            <w:tcW w:w="615" w:type="dxa"/>
            <w:vAlign w:val="center"/>
          </w:tcPr>
          <w:p>
            <w:pPr>
              <w:jc w:val="center"/>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JD141-06</w:t>
            </w:r>
          </w:p>
        </w:tc>
        <w:tc>
          <w:tcPr>
            <w:tcW w:w="570" w:type="dxa"/>
            <w:tcMar>
              <w:left w:w="0" w:type="dxa"/>
              <w:right w:w="0" w:type="dxa"/>
            </w:tcMar>
            <w:vAlign w:val="center"/>
          </w:tcPr>
          <w:p>
            <w:pPr>
              <w:jc w:val="center"/>
              <w:rPr>
                <w:rFonts w:hint="default" w:ascii="仿宋_GB2312" w:hAnsi="Times New Roman" w:eastAsia="仿宋_GB2312" w:cs="Times New Roman"/>
                <w:szCs w:val="21"/>
                <w:lang w:val="en-US" w:eastAsia="zh-CN"/>
              </w:rPr>
            </w:pPr>
            <w:r>
              <w:rPr>
                <w:rFonts w:hint="eastAsia" w:ascii="仿宋_GB2312" w:hAnsi="Times New Roman" w:eastAsia="仿宋_GB2312" w:cs="Times New Roman"/>
                <w:szCs w:val="21"/>
                <w:lang w:eastAsia="zh-CN"/>
              </w:rPr>
              <w:t>一类工业用地</w:t>
            </w:r>
            <w:r>
              <w:rPr>
                <w:rFonts w:hint="eastAsia" w:ascii="仿宋_GB2312" w:hAnsi="Times New Roman" w:eastAsia="仿宋_GB2312" w:cs="Times New Roman"/>
                <w:szCs w:val="21"/>
                <w:lang w:val="en-US" w:eastAsia="zh-CN"/>
              </w:rPr>
              <w:t>兼容一类物流仓储用地</w:t>
            </w:r>
          </w:p>
        </w:tc>
        <w:tc>
          <w:tcPr>
            <w:tcW w:w="774" w:type="dxa"/>
            <w:vAlign w:val="center"/>
          </w:tcPr>
          <w:p>
            <w:pPr>
              <w:jc w:val="center"/>
              <w:rPr>
                <w:rFonts w:hint="default"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66624.17</w:t>
            </w:r>
          </w:p>
        </w:tc>
        <w:tc>
          <w:tcPr>
            <w:tcW w:w="948" w:type="dxa"/>
            <w:vAlign w:val="center"/>
          </w:tcPr>
          <w:p>
            <w:pPr>
              <w:jc w:val="center"/>
              <w:rPr>
                <w:rFonts w:hint="default"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97810</w:t>
            </w:r>
          </w:p>
        </w:tc>
        <w:tc>
          <w:tcPr>
            <w:tcW w:w="720" w:type="dxa"/>
            <w:vAlign w:val="center"/>
          </w:tcPr>
          <w:p>
            <w:pPr>
              <w:jc w:val="center"/>
              <w:rPr>
                <w:rFonts w:hint="default"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≥35</w:t>
            </w:r>
          </w:p>
        </w:tc>
        <w:tc>
          <w:tcPr>
            <w:tcW w:w="672" w:type="dxa"/>
            <w:vAlign w:val="center"/>
          </w:tcPr>
          <w:p>
            <w:pPr>
              <w:jc w:val="center"/>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1.8-</w:t>
            </w:r>
            <w:r>
              <w:rPr>
                <w:rFonts w:hint="eastAsia" w:ascii="仿宋_GB2312" w:hAnsi="Times New Roman" w:eastAsia="仿宋_GB2312" w:cs="Times New Roman"/>
                <w:szCs w:val="21"/>
                <w:lang w:eastAsia="zh-CN"/>
              </w:rPr>
              <w:t>3.</w:t>
            </w:r>
            <w:r>
              <w:rPr>
                <w:rFonts w:hint="eastAsia" w:ascii="仿宋_GB2312" w:hAnsi="Times New Roman" w:eastAsia="仿宋_GB2312" w:cs="Times New Roman"/>
                <w:szCs w:val="21"/>
                <w:lang w:val="en-US" w:eastAsia="zh-CN"/>
              </w:rPr>
              <w:t>5</w:t>
            </w:r>
          </w:p>
        </w:tc>
        <w:tc>
          <w:tcPr>
            <w:tcW w:w="1650" w:type="dxa"/>
            <w:vAlign w:val="center"/>
          </w:tcPr>
          <w:p>
            <w:pPr>
              <w:jc w:val="center"/>
              <w:rPr>
                <w:rFonts w:hint="default"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176058-342335</w:t>
            </w:r>
          </w:p>
        </w:tc>
        <w:tc>
          <w:tcPr>
            <w:tcW w:w="1087" w:type="dxa"/>
            <w:vAlign w:val="center"/>
          </w:tcPr>
          <w:p>
            <w:pPr>
              <w:jc w:val="center"/>
              <w:rPr>
                <w:rFonts w:hint="default"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行政办公及生活服务设施</w:t>
            </w:r>
            <w:r>
              <w:rPr>
                <w:rFonts w:hint="eastAsia" w:ascii="仿宋_GB2312" w:hAnsi="Times New Roman" w:eastAsia="仿宋_GB2312" w:cs="Times New Roman"/>
                <w:szCs w:val="21"/>
                <w:lang w:eastAsia="zh-CN"/>
              </w:rPr>
              <w:t>每100平方米计容积率</w:t>
            </w:r>
            <w:r>
              <w:rPr>
                <w:rFonts w:hint="eastAsia" w:ascii="仿宋_GB2312" w:hAnsi="Times New Roman" w:eastAsia="仿宋_GB2312" w:cs="Times New Roman"/>
                <w:szCs w:val="21"/>
                <w:lang w:val="en-US" w:eastAsia="zh-CN"/>
              </w:rPr>
              <w:t>建筑</w:t>
            </w:r>
            <w:r>
              <w:rPr>
                <w:rFonts w:hint="eastAsia" w:ascii="仿宋_GB2312" w:hAnsi="Times New Roman" w:eastAsia="仿宋_GB2312" w:cs="Times New Roman"/>
                <w:szCs w:val="21"/>
                <w:lang w:eastAsia="zh-CN"/>
              </w:rPr>
              <w:t>面积≥1个，</w:t>
            </w:r>
            <w:r>
              <w:rPr>
                <w:rFonts w:hint="eastAsia" w:ascii="仿宋_GB2312" w:hAnsi="Times New Roman" w:eastAsia="仿宋_GB2312" w:cs="Times New Roman"/>
                <w:szCs w:val="21"/>
                <w:lang w:val="en-US" w:eastAsia="zh-CN"/>
              </w:rPr>
              <w:t>厂房、仓库每100平方米计容积率建筑面积≥0.2个，停车场须按不低于总停车位的10%的比例配置充电设施。</w:t>
            </w:r>
          </w:p>
        </w:tc>
        <w:tc>
          <w:tcPr>
            <w:tcW w:w="900" w:type="dxa"/>
            <w:vAlign w:val="center"/>
          </w:tcPr>
          <w:p>
            <w:pPr>
              <w:jc w:val="center"/>
              <w:rPr>
                <w:rFonts w:hint="eastAsia" w:ascii="仿宋_GB2312" w:hAnsi="Times New Roman" w:eastAsia="仿宋_GB2312" w:cs="Times New Roman"/>
                <w:szCs w:val="21"/>
                <w:lang w:eastAsia="zh-CN"/>
              </w:rPr>
            </w:pPr>
            <w:r>
              <w:rPr>
                <w:rFonts w:hint="eastAsia" w:ascii="仿宋_GB2312" w:hAnsi="Times New Roman" w:eastAsia="仿宋_GB2312" w:cs="Times New Roman"/>
                <w:szCs w:val="21"/>
                <w:lang w:val="en-US" w:eastAsia="zh-CN"/>
              </w:rPr>
              <w:t>15-20</w:t>
            </w:r>
          </w:p>
        </w:tc>
        <w:tc>
          <w:tcPr>
            <w:tcW w:w="979" w:type="dxa"/>
            <w:vAlign w:val="center"/>
          </w:tcPr>
          <w:p>
            <w:pPr>
              <w:jc w:val="center"/>
              <w:rPr>
                <w:rFonts w:hint="eastAsia" w:ascii="仿宋_GB2312" w:hAnsi="Times New Roman" w:eastAsia="仿宋_GB2312" w:cs="Times New Roman"/>
                <w:szCs w:val="21"/>
                <w:lang w:eastAsia="zh-CN"/>
              </w:rPr>
            </w:pPr>
            <w:r>
              <w:rPr>
                <w:rFonts w:hint="eastAsia" w:ascii="仿宋_GB2312" w:hAnsi="Times New Roman" w:eastAsia="仿宋_GB2312" w:cs="Times New Roman"/>
                <w:szCs w:val="21"/>
                <w:lang w:val="en-US" w:eastAsia="zh-CN"/>
              </w:rPr>
              <w:t>专业产业园区运营、科技推广和应用服务业、供应链管理服务用地</w:t>
            </w:r>
          </w:p>
        </w:tc>
        <w:tc>
          <w:tcPr>
            <w:tcW w:w="670" w:type="dxa"/>
            <w:vAlign w:val="center"/>
          </w:tcPr>
          <w:p>
            <w:pPr>
              <w:jc w:val="center"/>
              <w:rPr>
                <w:rFonts w:hint="eastAsia" w:ascii="仿宋_GB2312" w:hAnsi="Times New Roman" w:eastAsia="仿宋_GB2312" w:cs="Times New Roman"/>
                <w:szCs w:val="21"/>
                <w:lang w:eastAsia="zh-CN"/>
              </w:rPr>
            </w:pPr>
            <w:r>
              <w:rPr>
                <w:rFonts w:hint="eastAsia" w:ascii="仿宋_GB2312" w:hAnsi="Times New Roman" w:eastAsia="仿宋_GB2312" w:cs="Times New Roman"/>
                <w:szCs w:val="21"/>
                <w:lang w:val="en-US" w:eastAsia="zh-CN"/>
              </w:rPr>
              <w:t>5</w:t>
            </w:r>
            <w:r>
              <w:rPr>
                <w:rFonts w:hint="eastAsia" w:ascii="仿宋_GB2312" w:hAnsi="Times New Roman" w:eastAsia="仿宋_GB2312" w:cs="Times New Roman"/>
                <w:szCs w:val="21"/>
                <w:lang w:eastAsia="zh-CN"/>
              </w:rPr>
              <w:t>0年</w:t>
            </w:r>
          </w:p>
          <w:p>
            <w:pPr>
              <w:jc w:val="center"/>
              <w:rPr>
                <w:rFonts w:hint="eastAsia" w:ascii="仿宋_GB2312" w:hAnsi="Times New Roman" w:eastAsia="仿宋_GB2312" w:cs="Times New Roman"/>
                <w:szCs w:val="21"/>
                <w:lang w:eastAsia="zh-CN"/>
              </w:rPr>
            </w:pPr>
          </w:p>
        </w:tc>
      </w:tr>
    </w:tbl>
    <w:p>
      <w:pPr>
        <w:rPr>
          <w:rFonts w:hint="eastAsia" w:eastAsia="宋体"/>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方正小标宋_GBK">
    <w:altName w:val="微软雅黑"/>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8"/>
      </w:rPr>
    </w:pPr>
    <w:r>
      <w:fldChar w:fldCharType="begin"/>
    </w:r>
    <w:r>
      <w:rPr>
        <w:rStyle w:val="8"/>
      </w:rPr>
      <w:instrText xml:space="preserve">PAGE  </w:instrText>
    </w:r>
    <w:r>
      <w:fldChar w:fldCharType="separate"/>
    </w:r>
    <w:r>
      <w:rPr>
        <w:rStyle w:val="8"/>
      </w:rPr>
      <w:t>- 4 -</w:t>
    </w:r>
    <w:r>
      <w:fldChar w:fldCharType="end"/>
    </w:r>
  </w:p>
  <w:p>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8"/>
      </w:rPr>
    </w:pPr>
    <w:r>
      <w:fldChar w:fldCharType="begin"/>
    </w:r>
    <w:r>
      <w:rPr>
        <w:rStyle w:val="8"/>
      </w:rPr>
      <w:instrText xml:space="preserve">PAGE  </w:instrText>
    </w:r>
    <w:r>
      <w:fldChar w:fldCharType="separate"/>
    </w:r>
    <w:r>
      <w:rPr>
        <w:rStyle w:val="8"/>
      </w:rPr>
      <w:t>1</w:t>
    </w:r>
    <w:r>
      <w:fldChar w:fldCharType="end"/>
    </w:r>
  </w:p>
  <w:p>
    <w:pPr>
      <w:pStyle w:val="4"/>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jc w:val="left"/>
      <w:rPr>
        <w:rFonts w:hint="eastAsia"/>
      </w:rPr>
    </w:pPr>
  </w:p>
  <w:p>
    <w:pPr>
      <w:pStyle w:val="5"/>
      <w:pBdr>
        <w:bottom w:val="none" w:color="auto" w:sz="0" w:space="0"/>
      </w:pBd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C969B"/>
    <w:multiLevelType w:val="singleLevel"/>
    <w:tmpl w:val="015C969B"/>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5539EC"/>
    <w:rsid w:val="02624B0F"/>
    <w:rsid w:val="03043D1C"/>
    <w:rsid w:val="045C3FD8"/>
    <w:rsid w:val="07386886"/>
    <w:rsid w:val="07895069"/>
    <w:rsid w:val="082B1937"/>
    <w:rsid w:val="0D167AC3"/>
    <w:rsid w:val="0D430223"/>
    <w:rsid w:val="0D89067C"/>
    <w:rsid w:val="0DF23899"/>
    <w:rsid w:val="0E7A65F6"/>
    <w:rsid w:val="101D3BC2"/>
    <w:rsid w:val="10BD4DFA"/>
    <w:rsid w:val="137618AF"/>
    <w:rsid w:val="13D50F1B"/>
    <w:rsid w:val="141F0AB3"/>
    <w:rsid w:val="147A7896"/>
    <w:rsid w:val="161D2710"/>
    <w:rsid w:val="167673A1"/>
    <w:rsid w:val="16AA6FD1"/>
    <w:rsid w:val="16D56AAC"/>
    <w:rsid w:val="17AA0480"/>
    <w:rsid w:val="188D227F"/>
    <w:rsid w:val="192F711A"/>
    <w:rsid w:val="1A0B2C56"/>
    <w:rsid w:val="1AA5305E"/>
    <w:rsid w:val="1ADB0E54"/>
    <w:rsid w:val="1C5904D7"/>
    <w:rsid w:val="1DE30B94"/>
    <w:rsid w:val="1E862B6D"/>
    <w:rsid w:val="1F7C2358"/>
    <w:rsid w:val="1FB07F91"/>
    <w:rsid w:val="20C82B61"/>
    <w:rsid w:val="20ED2229"/>
    <w:rsid w:val="2161305F"/>
    <w:rsid w:val="22890C8D"/>
    <w:rsid w:val="22B30B9F"/>
    <w:rsid w:val="23A027B1"/>
    <w:rsid w:val="27A65DB8"/>
    <w:rsid w:val="28774868"/>
    <w:rsid w:val="2A6B42FA"/>
    <w:rsid w:val="2A870225"/>
    <w:rsid w:val="2B5D4967"/>
    <w:rsid w:val="304C7078"/>
    <w:rsid w:val="31CE6D72"/>
    <w:rsid w:val="33861F14"/>
    <w:rsid w:val="35335FA2"/>
    <w:rsid w:val="36061489"/>
    <w:rsid w:val="3615191D"/>
    <w:rsid w:val="37607760"/>
    <w:rsid w:val="380440B7"/>
    <w:rsid w:val="381E07C6"/>
    <w:rsid w:val="38BD14D1"/>
    <w:rsid w:val="3C13026D"/>
    <w:rsid w:val="3DDC60B5"/>
    <w:rsid w:val="40231E47"/>
    <w:rsid w:val="40363F40"/>
    <w:rsid w:val="409256E4"/>
    <w:rsid w:val="40B33D72"/>
    <w:rsid w:val="411B39E1"/>
    <w:rsid w:val="42CE6157"/>
    <w:rsid w:val="43706132"/>
    <w:rsid w:val="44966F93"/>
    <w:rsid w:val="45C047BF"/>
    <w:rsid w:val="4A1228DB"/>
    <w:rsid w:val="4A1B1ECC"/>
    <w:rsid w:val="4AE74DD0"/>
    <w:rsid w:val="4C2E14D5"/>
    <w:rsid w:val="4EC91786"/>
    <w:rsid w:val="4F861E18"/>
    <w:rsid w:val="538C505C"/>
    <w:rsid w:val="540106D5"/>
    <w:rsid w:val="546946EF"/>
    <w:rsid w:val="565101CA"/>
    <w:rsid w:val="567F481B"/>
    <w:rsid w:val="578E459E"/>
    <w:rsid w:val="57A3234F"/>
    <w:rsid w:val="57C844D5"/>
    <w:rsid w:val="596A13D8"/>
    <w:rsid w:val="5A893EB0"/>
    <w:rsid w:val="5AF873B7"/>
    <w:rsid w:val="5D241B5A"/>
    <w:rsid w:val="5D471E01"/>
    <w:rsid w:val="5DBE047F"/>
    <w:rsid w:val="5E3B0440"/>
    <w:rsid w:val="606821F3"/>
    <w:rsid w:val="64D925C4"/>
    <w:rsid w:val="67345806"/>
    <w:rsid w:val="68527CA2"/>
    <w:rsid w:val="692A6240"/>
    <w:rsid w:val="6E66482A"/>
    <w:rsid w:val="6EB83079"/>
    <w:rsid w:val="6F4B3B48"/>
    <w:rsid w:val="6FF0551C"/>
    <w:rsid w:val="700A52E4"/>
    <w:rsid w:val="727D44B4"/>
    <w:rsid w:val="736D1677"/>
    <w:rsid w:val="73BE7EBD"/>
    <w:rsid w:val="748840AA"/>
    <w:rsid w:val="761352C3"/>
    <w:rsid w:val="777109F6"/>
    <w:rsid w:val="77DD303C"/>
    <w:rsid w:val="782A0826"/>
    <w:rsid w:val="79E82C45"/>
    <w:rsid w:val="7B832F79"/>
    <w:rsid w:val="7D060077"/>
    <w:rsid w:val="7F2526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2">
    <w:name w:val="Normal Indent"/>
    <w:basedOn w:val="1"/>
    <w:qFormat/>
    <w:uiPriority w:val="0"/>
    <w:pPr>
      <w:spacing w:line="360" w:lineRule="auto"/>
      <w:ind w:firstLine="420"/>
    </w:pPr>
    <w:rPr>
      <w:sz w:val="28"/>
      <w:szCs w:val="20"/>
    </w:rPr>
  </w:style>
  <w:style w:type="paragraph" w:styleId="3">
    <w:name w:val="Body Text Indent"/>
    <w:basedOn w:val="1"/>
    <w:qFormat/>
    <w:uiPriority w:val="0"/>
    <w:pPr>
      <w:widowControl/>
      <w:adjustRightInd w:val="0"/>
      <w:snapToGrid w:val="0"/>
      <w:spacing w:before="100"/>
      <w:ind w:firstLine="640" w:firstLineChars="200"/>
      <w:jc w:val="left"/>
    </w:pPr>
    <w:rPr>
      <w:rFonts w:ascii="仿宋_GB2312" w:hAnsi="华文中宋" w:eastAsia="仿宋_GB2312"/>
      <w:kern w:val="0"/>
      <w:sz w:val="32"/>
      <w:szCs w:val="24"/>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szCs w:val="24"/>
    </w:rPr>
  </w:style>
  <w:style w:type="character" w:styleId="8">
    <w:name w:val="page number"/>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Office_10.8.2.6948_F1E327BC-269C-435d-A152-05C5408002CA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2019-12-12T06:35:00Z</dcterms:created>
  <dc:creator>Administrator</dc:creator>
  <cp:lastModifiedBy>杨惠丹</cp:lastModifiedBy>
  <cp:lastPrinted>2021-08-09T01:07:00Z</cp:lastPrinted>
  <dcterms:modified xsi:type="dcterms:W3CDTF">2021-08-10T08:50:28Z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2052-10.8.2.6948</vt:lpwstr>
  </property>
</Properties>
</file>