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人民政府批准，受惠州市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w:t>
      </w:r>
      <w:r>
        <w:rPr>
          <w:rFonts w:hint="eastAsia" w:ascii="仿宋_GB2312" w:hAnsi="仿宋_GB2312" w:eastAsia="仿宋_GB2312" w:cs="仿宋_GB2312"/>
          <w:b/>
          <w:bCs/>
          <w:sz w:val="32"/>
          <w:szCs w:val="32"/>
          <w:lang w:val="en-US" w:eastAsia="zh-CN"/>
        </w:rPr>
        <w:t>惠城区</w:t>
      </w:r>
      <w:r>
        <w:rPr>
          <w:rFonts w:hint="eastAsia" w:ascii="仿宋_GB2312" w:hAnsi="仿宋_GB2312" w:eastAsia="仿宋_GB2312" w:cs="仿宋_GB2312"/>
          <w:b/>
          <w:bCs/>
          <w:sz w:val="32"/>
          <w:szCs w:val="32"/>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）地块位置：惠州市惠城区横沥镇霞塱片区HLXL01-01地块;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（三）规划编号：HLXL01-01;</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lang w:val="en-US" w:eastAsia="zh-CN"/>
        </w:rPr>
        <w:t>PB20210019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宗地使用权面积为：20000.32平方米；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（六）计算指标用地面积为：23070平方米；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（七）计容积率建筑面积：36912-57675平方米（其中配套设施建筑面积≥100）；</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（八）容积率为：1.6-2.5；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（九）建筑密度为：≥30%；</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办公及生活服务设施</w:t>
      </w:r>
      <w:r>
        <w:rPr>
          <w:rFonts w:hint="eastAsia" w:ascii="仿宋_GB2312" w:hAnsi="仿宋_GB2312" w:eastAsia="仿宋_GB2312" w:cs="仿宋_GB2312"/>
          <w:sz w:val="32"/>
          <w:szCs w:val="32"/>
          <w:lang w:eastAsia="zh-CN"/>
        </w:rPr>
        <w:t>每100平方米计容积率</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lang w:eastAsia="zh-CN"/>
        </w:rPr>
        <w:t>面积≥1个，</w:t>
      </w:r>
      <w:r>
        <w:rPr>
          <w:rFonts w:hint="eastAsia" w:ascii="仿宋_GB2312" w:hAnsi="仿宋_GB2312" w:eastAsia="仿宋_GB2312" w:cs="仿宋_GB2312"/>
          <w:sz w:val="32"/>
          <w:szCs w:val="32"/>
          <w:lang w:val="en-US" w:eastAsia="zh-CN"/>
        </w:rPr>
        <w:t>厂房仓储每100平方米计容积率建筑面积≥0.3个；</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二类工业用地兼容二类物流仓储用地</w:t>
      </w:r>
      <w:r>
        <w:rPr>
          <w:rFonts w:hint="eastAsia" w:ascii="仿宋_GB2312" w:hAnsi="仿宋_GB2312" w:eastAsia="仿宋_GB2312" w:cs="仿宋_GB2312"/>
          <w:sz w:val="32"/>
          <w:szCs w:val="32"/>
        </w:rPr>
        <w:t>；</w:t>
      </w:r>
    </w:p>
    <w:p>
      <w:pPr>
        <w:tabs>
          <w:tab w:val="left" w:pos="3388"/>
        </w:tabs>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50年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农产品加工业</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开发投资总额不少于人民币</w:t>
      </w:r>
      <w:r>
        <w:rPr>
          <w:rFonts w:hint="eastAsia" w:ascii="仿宋_GB2312" w:hAnsi="仿宋" w:eastAsia="仿宋_GB2312"/>
          <w:sz w:val="32"/>
          <w:szCs w:val="32"/>
          <w:lang w:val="en-US" w:eastAsia="zh-CN"/>
        </w:rPr>
        <w:t>29600</w:t>
      </w:r>
      <w:r>
        <w:rPr>
          <w:rFonts w:hint="eastAsia" w:ascii="仿宋_GB2312" w:hAnsi="仿宋_GB2312" w:eastAsia="仿宋_GB2312" w:cs="仿宋_GB2312"/>
          <w:sz w:val="32"/>
          <w:szCs w:val="32"/>
          <w:lang w:eastAsia="zh-CN"/>
        </w:rPr>
        <w:t>万元（含地价）。</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auto"/>
          <w:kern w:val="0"/>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2栋厂房、1栋综合楼、1栋消防控制室及值班室，计算指标用地面积23070平方米，建筑层数地上最高7层（建筑高度最高28.75米，使用功能为办公用房及宿舍），地下1层，计容积率总建筑面积46303平方米（其中行政办公及生活服务设施建筑面积5011平方米，占比11%），容积率2.01，建筑密度45.3%（其中行政办公及生活服务设施用地面积790平方米，占比3.4%），绿地率15%，机动车停车位175个（均为地上停车），各项指标满足《建设用地规划设计条件》（PB20210019)要求。所报设计方案符合规划和相关规范要求，同意所报总平面图设计方案，须按程序进行公示，公示期未收到公众意见后则同意所报总平面图设计方案。建设单位须同步做好管线综合设计报审，建筑设计须符合国家、省、市有关绿色建筑和建筑节能方面的技术规范和标准，须按海绵城市设计要求做好设计及施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（五）招商条件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投资强度不低于</w:t>
      </w:r>
      <w:r>
        <w:rPr>
          <w:rFonts w:hint="eastAsia" w:ascii="仿宋_GB2312" w:hAnsi="宋体" w:eastAsia="仿宋_GB2312" w:cs="宋体"/>
          <w:color w:val="auto"/>
          <w:kern w:val="0"/>
          <w:sz w:val="32"/>
          <w:szCs w:val="32"/>
          <w:lang w:val="en-US" w:eastAsia="zh-CN"/>
        </w:rPr>
        <w:t>12100元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，土地产出率（营业收入）不低于</w:t>
      </w:r>
      <w:r>
        <w:rPr>
          <w:rFonts w:hint="eastAsia" w:ascii="仿宋_GB2312" w:hAnsi="宋体" w:eastAsia="仿宋_GB2312" w:cs="宋体"/>
          <w:color w:val="auto"/>
          <w:kern w:val="0"/>
          <w:sz w:val="32"/>
          <w:szCs w:val="32"/>
          <w:lang w:val="en-US" w:eastAsia="zh-CN"/>
        </w:rPr>
        <w:t>9000</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130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/年。其中，土地产出率及税收产出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在项目投产后</w:t>
      </w:r>
      <w:r>
        <w:rPr>
          <w:rFonts w:hint="eastAsia" w:ascii="仿宋_GB2312" w:hAnsi="宋体" w:eastAsia="仿宋_GB2312" w:cs="宋体"/>
          <w:color w:val="auto"/>
          <w:kern w:val="0"/>
          <w:sz w:val="32"/>
          <w:szCs w:val="32"/>
          <w:lang w:val="en-US" w:eastAsia="zh-CN"/>
        </w:rPr>
        <w:t>3年内逐年</w:t>
      </w:r>
      <w:r>
        <w:rPr>
          <w:rFonts w:hint="eastAsia" w:ascii="仿宋_GB2312" w:hAnsi="宋体" w:eastAsia="仿宋_GB2312" w:cs="宋体"/>
          <w:color w:val="auto"/>
          <w:kern w:val="0"/>
          <w:sz w:val="32"/>
          <w:szCs w:val="32"/>
        </w:rPr>
        <w:t>考核，</w:t>
      </w:r>
      <w:r>
        <w:rPr>
          <w:rFonts w:hint="eastAsia" w:ascii="仿宋_GB2312" w:hAnsi="宋体" w:eastAsia="仿宋_GB2312" w:cs="宋体"/>
          <w:color w:val="auto"/>
          <w:kern w:val="0"/>
          <w:sz w:val="32"/>
          <w:szCs w:val="32"/>
          <w:lang w:val="en-US" w:eastAsia="zh-CN"/>
        </w:rPr>
        <w:t>3年内的</w:t>
      </w:r>
      <w:r>
        <w:rPr>
          <w:rFonts w:hint="eastAsia" w:ascii="仿宋_GB2312" w:hAnsi="宋体" w:eastAsia="仿宋_GB2312" w:cs="宋体"/>
          <w:color w:val="auto"/>
          <w:kern w:val="0"/>
          <w:sz w:val="32"/>
          <w:szCs w:val="32"/>
        </w:rPr>
        <w:t>平均值不得低于上述标准。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同意，并符合惠城区产业发展方向及项目入区审核标准。本宗地交付乙方后,乙方须向</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宋体" w:eastAsia="仿宋_GB2312" w:cs="宋体"/>
          <w:color w:val="auto"/>
          <w:kern w:val="0"/>
          <w:sz w:val="32"/>
          <w:szCs w:val="32"/>
        </w:rPr>
        <w:t>提交项目投资计划书和时间安排表，并按月向</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宋体" w:eastAsia="仿宋_GB2312" w:cs="宋体"/>
          <w:color w:val="auto"/>
          <w:kern w:val="0"/>
          <w:sz w:val="32"/>
          <w:szCs w:val="32"/>
        </w:rPr>
        <w:t>书面报告项目进展情况，直至项目投产。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竞得人需与</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宋体" w:eastAsia="仿宋_GB2312" w:cs="宋体"/>
          <w:color w:val="auto"/>
          <w:kern w:val="0"/>
          <w:sz w:val="32"/>
          <w:szCs w:val="32"/>
        </w:rPr>
        <w:t>签订《惠城区工业项目土地建设和使用监管协议书》</w:t>
      </w:r>
      <w:r>
        <w:rPr>
          <w:rFonts w:hint="eastAsia" w:ascii="仿宋_GB2312" w:hAnsi="宋体" w:eastAsia="仿宋_GB2312" w:cs="宋体"/>
          <w:color w:val="000000"/>
          <w:kern w:val="0"/>
          <w:sz w:val="32"/>
          <w:szCs w:val="32"/>
        </w:rPr>
        <w:t>并完成监管协议公证手续</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竞得人在签订《成交确认书》前，须与</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仿宋_GB2312" w:eastAsia="仿宋_GB2312" w:cs="仿宋_GB2312"/>
          <w:sz w:val="32"/>
          <w:szCs w:val="32"/>
        </w:rPr>
        <w:t>签订《惠城区工业项目土地建设和使用监管协议书》，并由</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仿宋_GB2312" w:eastAsia="仿宋_GB2312" w:cs="仿宋_GB2312"/>
          <w:sz w:val="32"/>
          <w:szCs w:val="32"/>
        </w:rPr>
        <w:t>对项目用地实施批后监管。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竞买人缴交的竞买保证金为人民币</w:t>
      </w:r>
      <w:r>
        <w:rPr>
          <w:rFonts w:hint="eastAsia" w:ascii="仿宋_GB2312" w:hAnsi="仿宋_GB2312" w:eastAsia="仿宋_GB2312" w:cs="仿宋_GB2312"/>
          <w:sz w:val="32"/>
          <w:szCs w:val="32"/>
          <w:lang w:val="en-US" w:eastAsia="zh-CN"/>
        </w:rPr>
        <w:t>508.5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规划编号为HLXL01-01地块出让，</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壹仟陆佰玖拾伍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1695</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kern w:val="2"/>
          <w:sz w:val="32"/>
          <w:szCs w:val="32"/>
          <w:lang w:val="en-US" w:eastAsia="zh-CN" w:bidi="ar-SA"/>
        </w:rPr>
        <w:t>《惠城区工业项目土地建设和使用监管协议书》</w:t>
      </w:r>
    </w:p>
    <w:p>
      <w:pPr>
        <w:tabs>
          <w:tab w:val="left" w:pos="3388"/>
        </w:tabs>
        <w:spacing w:line="560" w:lineRule="exact"/>
        <w:ind w:left="0" w:leftChars="0" w:firstLine="640" w:firstLineChars="200"/>
        <w:jc w:val="left"/>
      </w:pPr>
      <w:r>
        <w:rPr>
          <w:rFonts w:hint="eastAsia" w:ascii="仿宋_GB2312" w:hAnsi="仿宋_GB2312" w:eastAsia="仿宋_GB2312" w:cs="仿宋_GB2312"/>
          <w:sz w:val="32"/>
          <w:szCs w:val="32"/>
          <w:lang w:val="en-US" w:eastAsia="zh-CN"/>
        </w:rPr>
        <w:t>9、其他相关文件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伍佰零捌</w:t>
      </w:r>
      <w:r>
        <w:rPr>
          <w:rFonts w:hint="eastAsia" w:ascii="仿宋_GB2312" w:hAnsi="仿宋_GB2312" w:eastAsia="仿宋_GB2312" w:cs="仿宋_GB2312"/>
          <w:sz w:val="32"/>
          <w:szCs w:val="32"/>
          <w:u w:val="single"/>
        </w:rPr>
        <w:t>万</w:t>
      </w:r>
      <w:r>
        <w:rPr>
          <w:rFonts w:hint="eastAsia" w:ascii="仿宋_GB2312" w:hAnsi="仿宋_GB2312" w:eastAsia="仿宋_GB2312" w:cs="仿宋_GB2312"/>
          <w:sz w:val="32"/>
          <w:szCs w:val="32"/>
          <w:u w:val="single"/>
          <w:lang w:val="en-US" w:eastAsia="zh-CN"/>
        </w:rPr>
        <w:t>伍仟</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508.5</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w:t>
      </w:r>
      <w:r>
        <w:rPr>
          <w:rFonts w:hint="eastAsia" w:ascii="仿宋_GB2312" w:hAnsi="仿宋_GB2312" w:eastAsia="仿宋_GB2312" w:cs="仿宋_GB2312"/>
          <w:sz w:val="32"/>
          <w:szCs w:val="32"/>
          <w:lang w:val="en-US" w:eastAsia="zh-CN"/>
        </w:rPr>
        <w:t>期限截止时，无人报价的，挂牌不成交</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3、网上挂牌交易</w:t>
      </w:r>
      <w:r>
        <w:rPr>
          <w:rFonts w:hint="eastAsia" w:ascii="仿宋_GB2312" w:hAnsi="仿宋_GB2312" w:eastAsia="仿宋_GB2312" w:cs="仿宋_GB2312"/>
          <w:sz w:val="32"/>
          <w:szCs w:val="32"/>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lang w:val="en-US" w:eastAsia="zh-CN"/>
        </w:rPr>
      </w:pPr>
      <w:r>
        <w:rPr>
          <w:rFonts w:hint="eastAsia" w:ascii="仿宋_GB2312" w:hAnsi="仿宋_GB2312" w:eastAsia="仿宋_GB2312" w:cs="仿宋_GB2312"/>
          <w:sz w:val="32"/>
          <w:szCs w:val="32"/>
        </w:rPr>
        <w:t xml:space="preserve">     网上限时竞价中无人报价的，以网上挂牌截止时出价最高</w:t>
      </w:r>
      <w:r>
        <w:rPr>
          <w:rFonts w:hint="eastAsia" w:ascii="仿宋_GB2312" w:hAnsi="仿宋_GB2312" w:eastAsia="仿宋_GB2312" w:cs="仿宋_GB2312"/>
          <w:sz w:val="32"/>
          <w:szCs w:val="32"/>
          <w:lang w:val="en-US" w:eastAsia="zh-CN"/>
        </w:rPr>
        <w:t>且报价不低于起始价者</w:t>
      </w:r>
      <w:r>
        <w:rPr>
          <w:rFonts w:hint="eastAsia" w:ascii="仿宋_GB2312" w:hAnsi="仿宋_GB2312" w:eastAsia="仿宋_GB2312" w:cs="仿宋_GB2312"/>
          <w:sz w:val="32"/>
          <w:szCs w:val="32"/>
        </w:rPr>
        <w:t>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经网上挂牌交易系统询问完毕后，没有竞买人表示愿意继续竞价的，</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网上挂牌交易</w:t>
      </w:r>
      <w:r>
        <w:rPr>
          <w:rFonts w:hint="eastAsia" w:ascii="仿宋_GB2312" w:hAnsi="仿宋_GB2312" w:eastAsia="仿宋_GB2312" w:cs="仿宋_GB2312"/>
          <w:sz w:val="32"/>
          <w:szCs w:val="32"/>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《惠城区工业项目土地建设和使用监管协议书》。</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竞买人须提交惠城区发改局出具的与该宗地块规划确定的产业类型一致的优先发展产业项目文件。</w:t>
      </w:r>
    </w:p>
    <w:p>
      <w:pPr>
        <w:pStyle w:val="2"/>
        <w:ind w:left="0" w:leftChars="0"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pStyle w:val="2"/>
        <w:ind w:left="0" w:leftChars="0" w:firstLine="64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3、签订《成交确认书》</w:t>
      </w:r>
    </w:p>
    <w:p>
      <w:pPr>
        <w:pStyle w:val="2"/>
        <w:ind w:left="0" w:leftChars="0" w:firstLine="640" w:firstLineChars="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资格审查通过的，竞得人与本中心及出让人签订《成交确认书》；不符合竞买资格的，按本须知第六条处理。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土地成交款须以人民币支付。</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《保证金到账通知书》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w:t>
      </w:r>
      <w:r>
        <w:rPr>
          <w:rFonts w:hint="eastAsia" w:ascii="仿宋_GB2312" w:eastAsia="仿宋_GB2312"/>
          <w:sz w:val="32"/>
          <w:szCs w:val="32"/>
          <w:lang w:val="en-US" w:eastAsia="zh-CN"/>
        </w:rPr>
        <w:t>惠州</w:t>
      </w:r>
      <w:r>
        <w:rPr>
          <w:rFonts w:hint="eastAsia" w:ascii="仿宋_GB2312" w:eastAsia="仿宋_GB2312"/>
          <w:sz w:val="32"/>
          <w:szCs w:val="32"/>
        </w:rPr>
        <w:t>市</w:t>
      </w:r>
      <w:r>
        <w:rPr>
          <w:rFonts w:hint="eastAsia" w:ascii="仿宋_GB2312" w:eastAsia="仿宋_GB2312"/>
          <w:sz w:val="32"/>
          <w:szCs w:val="32"/>
          <w:lang w:val="en-US" w:eastAsia="zh-CN"/>
        </w:rPr>
        <w:t>惠城区</w:t>
      </w:r>
      <w:r>
        <w:rPr>
          <w:rFonts w:hint="eastAsia" w:ascii="仿宋_GB2312" w:eastAsia="仿宋_GB2312"/>
          <w:sz w:val="32"/>
          <w:szCs w:val="32"/>
        </w:rPr>
        <w:t>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（十）</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F629A0"/>
    <w:rsid w:val="091E26EA"/>
    <w:rsid w:val="09317644"/>
    <w:rsid w:val="0A812477"/>
    <w:rsid w:val="0B1406EF"/>
    <w:rsid w:val="0C40433F"/>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70F4C1C"/>
    <w:rsid w:val="18220C10"/>
    <w:rsid w:val="1960257D"/>
    <w:rsid w:val="19D941D6"/>
    <w:rsid w:val="1CB6407B"/>
    <w:rsid w:val="1DE56E00"/>
    <w:rsid w:val="1ED73189"/>
    <w:rsid w:val="1F1E4268"/>
    <w:rsid w:val="20855E22"/>
    <w:rsid w:val="21587C67"/>
    <w:rsid w:val="22463965"/>
    <w:rsid w:val="22661D8C"/>
    <w:rsid w:val="22DC01FC"/>
    <w:rsid w:val="23141DA3"/>
    <w:rsid w:val="259D34B7"/>
    <w:rsid w:val="25D63F7C"/>
    <w:rsid w:val="26391FD0"/>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24E22EE"/>
    <w:rsid w:val="33A33367"/>
    <w:rsid w:val="34C41D04"/>
    <w:rsid w:val="34CD617E"/>
    <w:rsid w:val="360B04FE"/>
    <w:rsid w:val="378C6660"/>
    <w:rsid w:val="38DE5E51"/>
    <w:rsid w:val="390E539D"/>
    <w:rsid w:val="3C4A4143"/>
    <w:rsid w:val="3C5E598F"/>
    <w:rsid w:val="3C8F0E4F"/>
    <w:rsid w:val="3CAD2EC5"/>
    <w:rsid w:val="3CB81CC8"/>
    <w:rsid w:val="3D322E34"/>
    <w:rsid w:val="3D34683B"/>
    <w:rsid w:val="3D5E1016"/>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93B6F1B"/>
    <w:rsid w:val="4AFF2E69"/>
    <w:rsid w:val="4BA610FC"/>
    <w:rsid w:val="4BEE1CA4"/>
    <w:rsid w:val="4CF51C39"/>
    <w:rsid w:val="4D1F6077"/>
    <w:rsid w:val="4ED2701A"/>
    <w:rsid w:val="4F1E4BBE"/>
    <w:rsid w:val="4F3537ED"/>
    <w:rsid w:val="4FFE1B2F"/>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D006096"/>
    <w:rsid w:val="5D731ABE"/>
    <w:rsid w:val="5DB15592"/>
    <w:rsid w:val="5DF81F1B"/>
    <w:rsid w:val="5DFB50B1"/>
    <w:rsid w:val="610A5EBF"/>
    <w:rsid w:val="6178185B"/>
    <w:rsid w:val="617F00E3"/>
    <w:rsid w:val="61C04C47"/>
    <w:rsid w:val="626D5569"/>
    <w:rsid w:val="62D41879"/>
    <w:rsid w:val="6398078D"/>
    <w:rsid w:val="648A18F5"/>
    <w:rsid w:val="64C30585"/>
    <w:rsid w:val="651C53A6"/>
    <w:rsid w:val="659D6FA9"/>
    <w:rsid w:val="65F2007E"/>
    <w:rsid w:val="68085778"/>
    <w:rsid w:val="688B43B5"/>
    <w:rsid w:val="69B07B1E"/>
    <w:rsid w:val="69E22ED5"/>
    <w:rsid w:val="6AA821A5"/>
    <w:rsid w:val="6B8A6BF3"/>
    <w:rsid w:val="6BFA1460"/>
    <w:rsid w:val="6C013F77"/>
    <w:rsid w:val="6C181FB4"/>
    <w:rsid w:val="6C197CDD"/>
    <w:rsid w:val="6C5A6DDE"/>
    <w:rsid w:val="6C611252"/>
    <w:rsid w:val="6CCC1A8E"/>
    <w:rsid w:val="6FCE2720"/>
    <w:rsid w:val="714F5518"/>
    <w:rsid w:val="74CC0B4E"/>
    <w:rsid w:val="74D35F13"/>
    <w:rsid w:val="755C76C8"/>
    <w:rsid w:val="76382CBE"/>
    <w:rsid w:val="76B47A3E"/>
    <w:rsid w:val="77A91566"/>
    <w:rsid w:val="77E167B8"/>
    <w:rsid w:val="78591F3E"/>
    <w:rsid w:val="78CA1EAE"/>
    <w:rsid w:val="7AE44F5D"/>
    <w:rsid w:val="7B3065F7"/>
    <w:rsid w:val="7B4F2E9A"/>
    <w:rsid w:val="7B8363CD"/>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10</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刘智东</cp:lastModifiedBy>
  <cp:lastPrinted>2021-07-08T06:53:34Z</cp:lastPrinted>
  <dcterms:modified xsi:type="dcterms:W3CDTF">2021-07-08T07:44:36Z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