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bidi w:val="0"/>
        <w:spacing w:line="520" w:lineRule="exact"/>
        <w:textAlignment w:val="auto"/>
        <w:rPr>
          <w:rFonts w:hint="default" w:ascii="Times New Roman" w:hAnsi="Times New Roman" w:eastAsia="仿宋_GB2312" w:cs="Times New Roman"/>
          <w:b w:val="0"/>
          <w:bCs w:val="0"/>
          <w:color w:val="auto"/>
          <w:spacing w:val="3"/>
          <w:sz w:val="32"/>
          <w:szCs w:val="32"/>
          <w:highlight w:val="none"/>
        </w:rPr>
      </w:pPr>
    </w:p>
    <w:p>
      <w:pPr>
        <w:tabs>
          <w:tab w:val="left" w:pos="11340"/>
        </w:tabs>
        <w:spacing w:line="560" w:lineRule="exact"/>
        <w:ind w:left="4018" w:hanging="4029" w:hangingChars="900"/>
        <w:jc w:val="center"/>
        <w:rPr>
          <w:rFonts w:hint="default" w:ascii="Times New Roman" w:hAnsi="Times New Roman" w:eastAsia="方正小标宋简体" w:cs="Times New Roman"/>
          <w:b/>
          <w:bCs/>
          <w:color w:val="auto"/>
          <w:spacing w:val="3"/>
          <w:sz w:val="44"/>
          <w:szCs w:val="44"/>
          <w:lang w:val="en-US" w:eastAsia="zh-CN"/>
        </w:rPr>
      </w:pPr>
      <w:r>
        <w:rPr>
          <w:rFonts w:hint="default" w:ascii="Times New Roman" w:hAnsi="Times New Roman" w:eastAsia="方正小标宋简体" w:cs="Times New Roman"/>
          <w:b/>
          <w:bCs/>
          <w:color w:val="auto"/>
          <w:spacing w:val="3"/>
          <w:sz w:val="44"/>
          <w:szCs w:val="44"/>
          <w:lang w:val="en-US" w:eastAsia="zh-CN"/>
        </w:rPr>
        <w:t>惠州市</w:t>
      </w:r>
      <w:bookmarkStart w:id="0" w:name="_GoBack"/>
      <w:bookmarkEnd w:id="0"/>
      <w:r>
        <w:rPr>
          <w:rFonts w:hint="default" w:ascii="Times New Roman" w:hAnsi="Times New Roman" w:eastAsia="方正小标宋简体" w:cs="Times New Roman"/>
          <w:b/>
          <w:bCs/>
          <w:color w:val="auto"/>
          <w:spacing w:val="3"/>
          <w:sz w:val="44"/>
          <w:szCs w:val="44"/>
          <w:lang w:val="en-US" w:eastAsia="zh-CN"/>
        </w:rPr>
        <w:t>国有建设用地使用权</w:t>
      </w:r>
    </w:p>
    <w:p>
      <w:pPr>
        <w:tabs>
          <w:tab w:val="left" w:pos="11340"/>
        </w:tabs>
        <w:spacing w:line="560" w:lineRule="exact"/>
        <w:ind w:left="4018" w:hanging="4029" w:hangingChars="900"/>
        <w:jc w:val="center"/>
        <w:rPr>
          <w:rFonts w:hint="default" w:ascii="Times New Roman" w:hAnsi="Times New Roman" w:eastAsia="方正小标宋简体" w:cs="Times New Roman"/>
          <w:b w:val="0"/>
          <w:bCs w:val="0"/>
          <w:color w:val="auto"/>
          <w:w w:val="100"/>
          <w:kern w:val="0"/>
          <w:sz w:val="44"/>
          <w:szCs w:val="44"/>
          <w:highlight w:val="none"/>
          <w:lang w:val="en-US" w:eastAsia="zh-CN"/>
        </w:rPr>
      </w:pPr>
      <w:r>
        <w:rPr>
          <w:rFonts w:hint="default" w:ascii="Times New Roman" w:hAnsi="Times New Roman" w:eastAsia="方正小标宋简体" w:cs="Times New Roman"/>
          <w:b/>
          <w:bCs/>
          <w:color w:val="auto"/>
          <w:spacing w:val="3"/>
          <w:sz w:val="44"/>
          <w:szCs w:val="44"/>
          <w:lang w:val="en-US" w:eastAsia="zh-CN"/>
        </w:rPr>
        <w:t>网上挂牌出让公告</w:t>
      </w:r>
    </w:p>
    <w:p>
      <w:pPr>
        <w:keepNext w:val="0"/>
        <w:keepLines w:val="0"/>
        <w:pageBreakBefore w:val="0"/>
        <w:kinsoku/>
        <w:wordWrap/>
        <w:overflowPunct/>
        <w:topLinePunct w:val="0"/>
        <w:autoSpaceDE/>
        <w:autoSpaceDN/>
        <w:bidi w:val="0"/>
        <w:spacing w:line="240" w:lineRule="auto"/>
        <w:ind w:firstLine="2240" w:firstLineChars="700"/>
        <w:textAlignment w:val="auto"/>
        <w:rPr>
          <w:rFonts w:hint="default" w:ascii="Times New Roman" w:hAnsi="Times New Roman" w:eastAsia="仿宋" w:cs="Times New Roman"/>
          <w:b w:val="0"/>
          <w:bCs w:val="0"/>
          <w:color w:val="00B0F0"/>
          <w:sz w:val="32"/>
          <w:szCs w:val="32"/>
          <w:highlight w:val="none"/>
        </w:rPr>
      </w:pPr>
      <w:r>
        <w:rPr>
          <w:rFonts w:hint="default" w:ascii="Times New Roman" w:hAnsi="Times New Roman" w:eastAsia="仿宋" w:cs="Times New Roman"/>
          <w:b w:val="0"/>
          <w:bCs w:val="0"/>
          <w:color w:val="auto"/>
          <w:sz w:val="32"/>
          <w:szCs w:val="32"/>
          <w:highlight w:val="none"/>
        </w:rPr>
        <w:t>惠市资源挂出告字[2022]</w:t>
      </w:r>
      <w:r>
        <w:rPr>
          <w:rFonts w:hint="default" w:ascii="Times New Roman" w:hAnsi="Times New Roman" w:eastAsia="仿宋" w:cs="Times New Roman"/>
          <w:b w:val="0"/>
          <w:bCs w:val="0"/>
          <w:color w:val="auto"/>
          <w:sz w:val="32"/>
          <w:szCs w:val="32"/>
          <w:highlight w:val="none"/>
          <w:lang w:val="en-US" w:eastAsia="zh-CN"/>
        </w:rPr>
        <w:t>009</w:t>
      </w:r>
      <w:r>
        <w:rPr>
          <w:rFonts w:hint="default" w:ascii="Times New Roman" w:hAnsi="Times New Roman" w:eastAsia="仿宋" w:cs="Times New Roman"/>
          <w:b w:val="0"/>
          <w:bCs w:val="0"/>
          <w:color w:val="auto"/>
          <w:sz w:val="32"/>
          <w:szCs w:val="32"/>
          <w:highlight w:val="none"/>
        </w:rPr>
        <w:t>号</w:t>
      </w:r>
    </w:p>
    <w:p>
      <w:pPr>
        <w:keepNext w:val="0"/>
        <w:keepLines w:val="0"/>
        <w:pageBreakBefore w:val="0"/>
        <w:kinsoku/>
        <w:wordWrap/>
        <w:overflowPunct/>
        <w:topLinePunct w:val="0"/>
        <w:autoSpaceDE/>
        <w:autoSpaceDN/>
        <w:bidi w:val="0"/>
        <w:spacing w:line="240" w:lineRule="auto"/>
        <w:ind w:firstLine="640" w:firstLineChars="200"/>
        <w:textAlignment w:val="auto"/>
        <w:rPr>
          <w:rFonts w:hint="default" w:ascii="Times New Roman" w:hAnsi="Times New Roman" w:eastAsia="仿宋" w:cs="Times New Roman"/>
          <w:b w:val="0"/>
          <w:bCs w:val="0"/>
          <w:color w:val="00B0F0"/>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根据《招标拍卖挂牌出让国有建设用地使用权规定》</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国土资源部令第39号</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和《广东省土地使用权交易市场管理规定》</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广东省人民政府令第79号</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的规定，经批准，</w:t>
      </w:r>
      <w:r>
        <w:rPr>
          <w:rFonts w:hint="default" w:ascii="Times New Roman" w:hAnsi="Times New Roman" w:eastAsia="仿宋" w:cs="Times New Roman"/>
          <w:b w:val="0"/>
          <w:bCs w:val="0"/>
          <w:color w:val="auto"/>
          <w:sz w:val="32"/>
          <w:szCs w:val="32"/>
          <w:highlight w:val="none"/>
          <w:lang w:eastAsia="zh-CN"/>
        </w:rPr>
        <w:t>我</w:t>
      </w:r>
      <w:r>
        <w:rPr>
          <w:rFonts w:hint="default" w:ascii="Times New Roman" w:hAnsi="Times New Roman" w:eastAsia="仿宋" w:cs="Times New Roman"/>
          <w:b w:val="0"/>
          <w:bCs w:val="0"/>
          <w:color w:val="auto"/>
          <w:sz w:val="32"/>
          <w:szCs w:val="32"/>
          <w:highlight w:val="none"/>
        </w:rPr>
        <w:t>局决定以网上挂牌方式公开出让下列一宗国有建设用地使用权。现将有关事项公告如下：</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lang w:val="en-US" w:eastAsia="zh-CN"/>
        </w:rPr>
        <w:t>一、</w:t>
      </w:r>
      <w:r>
        <w:rPr>
          <w:rFonts w:hint="default" w:ascii="Times New Roman" w:hAnsi="Times New Roman" w:eastAsia="仿宋" w:cs="Times New Roman"/>
          <w:b/>
          <w:bCs/>
          <w:color w:val="auto"/>
          <w:sz w:val="32"/>
          <w:szCs w:val="32"/>
          <w:highlight w:val="none"/>
        </w:rPr>
        <w:t>网上挂牌出让地块基本情况及规划指标要求（见附表）</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lang w:val="en-US" w:eastAsia="zh-CN"/>
        </w:rPr>
        <w:t>二、</w:t>
      </w:r>
      <w:r>
        <w:rPr>
          <w:rFonts w:hint="default" w:ascii="Times New Roman" w:hAnsi="Times New Roman" w:eastAsia="仿宋" w:cs="Times New Roman"/>
          <w:b/>
          <w:bCs/>
          <w:color w:val="auto"/>
          <w:sz w:val="32"/>
          <w:szCs w:val="32"/>
          <w:highlight w:val="none"/>
        </w:rPr>
        <w:t>挂牌起始价及</w:t>
      </w:r>
      <w:r>
        <w:rPr>
          <w:rFonts w:hint="default" w:ascii="Times New Roman" w:hAnsi="Times New Roman" w:eastAsia="仿宋" w:cs="Times New Roman"/>
          <w:b/>
          <w:bCs/>
          <w:color w:val="auto"/>
          <w:sz w:val="32"/>
          <w:szCs w:val="32"/>
          <w:highlight w:val="none"/>
          <w:lang w:val="en-US" w:eastAsia="zh-CN"/>
        </w:rPr>
        <w:t>增</w:t>
      </w:r>
      <w:r>
        <w:rPr>
          <w:rFonts w:hint="default" w:ascii="Times New Roman" w:hAnsi="Times New Roman" w:eastAsia="仿宋" w:cs="Times New Roman"/>
          <w:b/>
          <w:bCs/>
          <w:color w:val="auto"/>
          <w:sz w:val="32"/>
          <w:szCs w:val="32"/>
          <w:highlight w:val="none"/>
        </w:rPr>
        <w:t>价幅度</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挂牌起始价为人民币</w:t>
      </w:r>
      <w:r>
        <w:rPr>
          <w:rFonts w:hint="default" w:ascii="Times New Roman" w:hAnsi="Times New Roman" w:eastAsia="仿宋" w:cs="Times New Roman"/>
          <w:b w:val="0"/>
          <w:bCs w:val="0"/>
          <w:color w:val="auto"/>
          <w:sz w:val="32"/>
          <w:szCs w:val="32"/>
          <w:highlight w:val="none"/>
          <w:lang w:val="en-US" w:eastAsia="zh-CN"/>
        </w:rPr>
        <w:t>46800</w:t>
      </w:r>
      <w:r>
        <w:rPr>
          <w:rFonts w:hint="default" w:ascii="Times New Roman" w:hAnsi="Times New Roman" w:eastAsia="仿宋" w:cs="Times New Roman"/>
          <w:b w:val="0"/>
          <w:bCs w:val="0"/>
          <w:color w:val="auto"/>
          <w:sz w:val="32"/>
          <w:szCs w:val="32"/>
          <w:highlight w:val="none"/>
        </w:rPr>
        <w:t>万元</w:t>
      </w:r>
      <w:r>
        <w:rPr>
          <w:rFonts w:hint="default" w:ascii="Times New Roman" w:hAnsi="Times New Roman" w:eastAsia="仿宋" w:cs="Times New Roman"/>
          <w:b w:val="0"/>
          <w:bCs w:val="0"/>
          <w:color w:val="auto"/>
          <w:sz w:val="32"/>
          <w:szCs w:val="32"/>
          <w:highlight w:val="none"/>
          <w:lang w:eastAsia="zh-CN"/>
        </w:rPr>
        <w:t>（含前期经费），</w:t>
      </w:r>
      <w:r>
        <w:rPr>
          <w:rFonts w:hint="default" w:ascii="Times New Roman" w:hAnsi="Times New Roman" w:eastAsia="仿宋" w:cs="Times New Roman"/>
          <w:b w:val="0"/>
          <w:bCs w:val="0"/>
          <w:color w:val="auto"/>
          <w:sz w:val="32"/>
          <w:szCs w:val="32"/>
          <w:highlight w:val="none"/>
        </w:rPr>
        <w:t>每次报价</w:t>
      </w:r>
      <w:r>
        <w:rPr>
          <w:rFonts w:hint="default" w:ascii="Times New Roman" w:hAnsi="Times New Roman" w:eastAsia="仿宋" w:cs="Times New Roman"/>
          <w:b w:val="0"/>
          <w:bCs w:val="0"/>
          <w:color w:val="auto"/>
          <w:sz w:val="32"/>
          <w:szCs w:val="32"/>
          <w:highlight w:val="none"/>
          <w:lang w:val="en-US" w:eastAsia="zh-CN"/>
        </w:rPr>
        <w:t>增</w:t>
      </w:r>
      <w:r>
        <w:rPr>
          <w:rFonts w:hint="default" w:ascii="Times New Roman" w:hAnsi="Times New Roman" w:eastAsia="仿宋" w:cs="Times New Roman"/>
          <w:b w:val="0"/>
          <w:bCs w:val="0"/>
          <w:color w:val="auto"/>
          <w:sz w:val="32"/>
          <w:szCs w:val="32"/>
          <w:highlight w:val="none"/>
        </w:rPr>
        <w:t>价幅度为人民币</w:t>
      </w:r>
      <w:r>
        <w:rPr>
          <w:rFonts w:hint="default" w:ascii="Times New Roman" w:hAnsi="Times New Roman" w:eastAsia="仿宋" w:cs="Times New Roman"/>
          <w:b w:val="0"/>
          <w:bCs w:val="0"/>
          <w:color w:val="auto"/>
          <w:sz w:val="32"/>
          <w:szCs w:val="32"/>
          <w:highlight w:val="none"/>
          <w:lang w:val="en-US" w:eastAsia="zh-CN"/>
        </w:rPr>
        <w:t>500</w:t>
      </w:r>
      <w:r>
        <w:rPr>
          <w:rFonts w:hint="default" w:ascii="Times New Roman" w:hAnsi="Times New Roman" w:eastAsia="仿宋" w:cs="Times New Roman"/>
          <w:b w:val="0"/>
          <w:bCs w:val="0"/>
          <w:color w:val="auto"/>
          <w:sz w:val="32"/>
          <w:szCs w:val="32"/>
          <w:highlight w:val="none"/>
        </w:rPr>
        <w:t>万元的整数倍。</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b/>
          <w:bCs/>
          <w:color w:val="auto"/>
          <w:sz w:val="32"/>
          <w:szCs w:val="32"/>
          <w:highlight w:val="none"/>
          <w:lang w:eastAsia="zh-CN"/>
        </w:rPr>
      </w:pPr>
      <w:r>
        <w:rPr>
          <w:rFonts w:hint="default" w:ascii="Times New Roman" w:hAnsi="Times New Roman" w:eastAsia="仿宋" w:cs="Times New Roman"/>
          <w:b/>
          <w:bCs/>
          <w:color w:val="auto"/>
          <w:sz w:val="32"/>
          <w:szCs w:val="32"/>
          <w:highlight w:val="none"/>
        </w:rPr>
        <w:t>三、时间安排</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（一）公告时间：</w:t>
      </w:r>
      <w:r>
        <w:rPr>
          <w:rFonts w:hint="default" w:ascii="Times New Roman" w:hAnsi="Times New Roman" w:eastAsia="仿宋" w:cs="Times New Roman"/>
          <w:b w:val="0"/>
          <w:bCs w:val="0"/>
          <w:color w:val="auto"/>
          <w:sz w:val="32"/>
          <w:szCs w:val="32"/>
          <w:highlight w:val="none"/>
          <w:lang w:val="en-US" w:eastAsia="zh-CN"/>
        </w:rPr>
        <w:t>2022</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lang w:val="en-US" w:eastAsia="zh-CN"/>
        </w:rPr>
        <w:t>11</w:t>
      </w:r>
      <w:r>
        <w:rPr>
          <w:rFonts w:hint="default" w:ascii="Times New Roman" w:hAnsi="Times New Roman" w:eastAsia="仿宋" w:cs="Times New Roman"/>
          <w:b w:val="0"/>
          <w:bCs w:val="0"/>
          <w:color w:val="auto"/>
          <w:sz w:val="32"/>
          <w:szCs w:val="32"/>
          <w:highlight w:val="none"/>
        </w:rPr>
        <w:t>月</w:t>
      </w:r>
      <w:r>
        <w:rPr>
          <w:rFonts w:hint="default" w:ascii="Times New Roman" w:hAnsi="Times New Roman" w:eastAsia="仿宋" w:cs="Times New Roman"/>
          <w:b w:val="0"/>
          <w:bCs w:val="0"/>
          <w:color w:val="auto"/>
          <w:sz w:val="32"/>
          <w:szCs w:val="32"/>
          <w:highlight w:val="none"/>
          <w:lang w:val="en-US" w:eastAsia="zh-CN"/>
        </w:rPr>
        <w:t>16</w:t>
      </w:r>
      <w:r>
        <w:rPr>
          <w:rFonts w:hint="default" w:ascii="Times New Roman" w:hAnsi="Times New Roman" w:eastAsia="仿宋" w:cs="Times New Roman"/>
          <w:b w:val="0"/>
          <w:bCs w:val="0"/>
          <w:color w:val="auto"/>
          <w:sz w:val="32"/>
          <w:szCs w:val="32"/>
          <w:highlight w:val="none"/>
        </w:rPr>
        <w:t>日至</w:t>
      </w:r>
      <w:r>
        <w:rPr>
          <w:rFonts w:hint="default" w:ascii="Times New Roman" w:hAnsi="Times New Roman" w:eastAsia="仿宋" w:cs="Times New Roman"/>
          <w:b w:val="0"/>
          <w:bCs w:val="0"/>
          <w:color w:val="auto"/>
          <w:sz w:val="32"/>
          <w:szCs w:val="32"/>
          <w:highlight w:val="none"/>
          <w:lang w:val="en-US" w:eastAsia="zh-CN"/>
        </w:rPr>
        <w:t>2022年12月5日</w:t>
      </w:r>
      <w:r>
        <w:rPr>
          <w:rFonts w:hint="default" w:ascii="Times New Roman" w:hAnsi="Times New Roman" w:eastAsia="仿宋" w:cs="Times New Roman"/>
          <w:b w:val="0"/>
          <w:bCs w:val="0"/>
          <w:color w:val="auto"/>
          <w:sz w:val="32"/>
          <w:szCs w:val="32"/>
          <w:highlight w:val="none"/>
          <w:lang w:eastAsia="zh-CN"/>
        </w:rPr>
        <w:t>。</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（二）网上挂牌竞买时间：</w:t>
      </w:r>
      <w:r>
        <w:rPr>
          <w:rFonts w:hint="default" w:ascii="Times New Roman" w:hAnsi="Times New Roman" w:eastAsia="仿宋" w:cs="Times New Roman"/>
          <w:b w:val="0"/>
          <w:bCs w:val="0"/>
          <w:color w:val="auto"/>
          <w:sz w:val="32"/>
          <w:szCs w:val="32"/>
          <w:highlight w:val="none"/>
          <w:lang w:val="en-US" w:eastAsia="zh-CN"/>
        </w:rPr>
        <w:t>2022年12月6日9</w:t>
      </w:r>
      <w:r>
        <w:rPr>
          <w:rFonts w:hint="default" w:ascii="Times New Roman" w:hAnsi="Times New Roman" w:eastAsia="仿宋" w:cs="Times New Roman"/>
          <w:b w:val="0"/>
          <w:bCs w:val="0"/>
          <w:color w:val="auto"/>
          <w:sz w:val="32"/>
          <w:szCs w:val="32"/>
          <w:highlight w:val="none"/>
        </w:rPr>
        <w:t>时至2022年</w:t>
      </w:r>
      <w:r>
        <w:rPr>
          <w:rFonts w:hint="default" w:ascii="Times New Roman" w:hAnsi="Times New Roman" w:eastAsia="仿宋" w:cs="Times New Roman"/>
          <w:b w:val="0"/>
          <w:bCs w:val="0"/>
          <w:color w:val="auto"/>
          <w:sz w:val="32"/>
          <w:szCs w:val="32"/>
          <w:highlight w:val="none"/>
          <w:lang w:val="en-US" w:eastAsia="zh-CN"/>
        </w:rPr>
        <w:t>12</w:t>
      </w:r>
      <w:r>
        <w:rPr>
          <w:rFonts w:hint="default" w:ascii="Times New Roman" w:hAnsi="Times New Roman" w:eastAsia="仿宋" w:cs="Times New Roman"/>
          <w:b w:val="0"/>
          <w:bCs w:val="0"/>
          <w:color w:val="auto"/>
          <w:sz w:val="32"/>
          <w:szCs w:val="32"/>
          <w:highlight w:val="none"/>
        </w:rPr>
        <w:t>月</w:t>
      </w:r>
      <w:r>
        <w:rPr>
          <w:rFonts w:hint="default" w:ascii="Times New Roman" w:hAnsi="Times New Roman" w:eastAsia="仿宋" w:cs="Times New Roman"/>
          <w:b w:val="0"/>
          <w:bCs w:val="0"/>
          <w:color w:val="auto"/>
          <w:sz w:val="32"/>
          <w:szCs w:val="32"/>
          <w:highlight w:val="none"/>
          <w:lang w:val="en-US" w:eastAsia="zh-CN"/>
        </w:rPr>
        <w:t>20</w:t>
      </w:r>
      <w:r>
        <w:rPr>
          <w:rFonts w:hint="default" w:ascii="Times New Roman" w:hAnsi="Times New Roman" w:eastAsia="仿宋" w:cs="Times New Roman"/>
          <w:b w:val="0"/>
          <w:bCs w:val="0"/>
          <w:color w:val="auto"/>
          <w:sz w:val="32"/>
          <w:szCs w:val="32"/>
          <w:highlight w:val="none"/>
        </w:rPr>
        <w:t>日10时。</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（三）</w:t>
      </w:r>
      <w:r>
        <w:rPr>
          <w:rFonts w:hint="default" w:ascii="Times New Roman" w:hAnsi="Times New Roman" w:eastAsia="仿宋" w:cs="Times New Roman"/>
          <w:b w:val="0"/>
          <w:bCs w:val="0"/>
          <w:color w:val="auto"/>
          <w:sz w:val="32"/>
          <w:szCs w:val="32"/>
          <w:highlight w:val="none"/>
        </w:rPr>
        <w:t>竞买保证金到账截止时间为：</w:t>
      </w:r>
      <w:r>
        <w:rPr>
          <w:rFonts w:hint="default" w:ascii="Times New Roman" w:hAnsi="Times New Roman" w:eastAsia="仿宋" w:cs="Times New Roman"/>
          <w:b w:val="0"/>
          <w:bCs w:val="0"/>
          <w:color w:val="auto"/>
          <w:sz w:val="32"/>
          <w:szCs w:val="32"/>
          <w:highlight w:val="none"/>
          <w:lang w:val="en-US" w:eastAsia="zh-CN"/>
        </w:rPr>
        <w:t>2022</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lang w:val="en-US" w:eastAsia="zh-CN"/>
        </w:rPr>
        <w:t>12</w:t>
      </w:r>
      <w:r>
        <w:rPr>
          <w:rFonts w:hint="default" w:ascii="Times New Roman" w:hAnsi="Times New Roman" w:eastAsia="仿宋" w:cs="Times New Roman"/>
          <w:b w:val="0"/>
          <w:bCs w:val="0"/>
          <w:color w:val="auto"/>
          <w:sz w:val="32"/>
          <w:szCs w:val="32"/>
          <w:highlight w:val="none"/>
        </w:rPr>
        <w:t>月</w:t>
      </w:r>
      <w:r>
        <w:rPr>
          <w:rFonts w:hint="default" w:ascii="Times New Roman" w:hAnsi="Times New Roman" w:eastAsia="仿宋" w:cs="Times New Roman"/>
          <w:b w:val="0"/>
          <w:bCs w:val="0"/>
          <w:color w:val="auto"/>
          <w:sz w:val="32"/>
          <w:szCs w:val="32"/>
          <w:highlight w:val="none"/>
          <w:lang w:val="en-US" w:eastAsia="zh-CN"/>
        </w:rPr>
        <w:t>20</w:t>
      </w:r>
      <w:r>
        <w:rPr>
          <w:rFonts w:hint="default" w:ascii="Times New Roman" w:hAnsi="Times New Roman" w:eastAsia="仿宋" w:cs="Times New Roman"/>
          <w:b w:val="0"/>
          <w:bCs w:val="0"/>
          <w:color w:val="auto"/>
          <w:sz w:val="32"/>
          <w:szCs w:val="32"/>
          <w:highlight w:val="none"/>
        </w:rPr>
        <w:t>日</w:t>
      </w:r>
      <w:r>
        <w:rPr>
          <w:rFonts w:hint="default" w:ascii="Times New Roman" w:hAnsi="Times New Roman" w:eastAsia="仿宋" w:cs="Times New Roman"/>
          <w:b w:val="0"/>
          <w:bCs w:val="0"/>
          <w:color w:val="auto"/>
          <w:sz w:val="32"/>
          <w:szCs w:val="32"/>
          <w:highlight w:val="none"/>
          <w:lang w:val="en-US" w:eastAsia="zh-CN"/>
        </w:rPr>
        <w:t>9</w:t>
      </w:r>
      <w:r>
        <w:rPr>
          <w:rFonts w:hint="default" w:ascii="Times New Roman" w:hAnsi="Times New Roman" w:eastAsia="仿宋" w:cs="Times New Roman"/>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四、竞买资格及要求</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中华人民共和国境内外的法人和其他组织（除法律法规另有规定外），符合竞买资格条件的，均可通过网上挂牌交易系统，申请参加电子挂牌交易活动。</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（一）竞买申请人需具备房地产开发资质，且同一企业及控股公司只允许一家企业参与竞买；</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（二）交纳足额竞买保证金；</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（三）存在下列行为之一的企业及其控股股东，不得参与竞买上述地块：</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1、存在伪造公文骗取用地和非法倒卖土地等犯罪行为的；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2、存在非法转让土地使用权等违法行为的；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3、因企业原因造成土地闲置一年以上且至报名日止未处罚完结的；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4、开发建设企业有违背出让合同约定条件开发利用土地情形且至报名日止未处罚完结的；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5、至报名日止仍拖欠政府地价款的;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6、被列入问题楼盘开发企业黑名单的;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7、超过“三道红线”，存在重大失信行为的；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8、存在其它被禁止竞买土地行为的。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四）竞买申请单位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对于经审查资金来源不符合要求的，根据情况采取取消参与资格竞买、取消竞得资格、解除土地出让合同或收回已出让土地等措施，竞买保证金不予返还，一年内不得在惠州市参加土地竞买。</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lang w:val="en-US" w:eastAsia="zh-CN"/>
        </w:rPr>
        <w:t>五、竞买保证金</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（一）该宗地竞买保证金为人民币14040万元。</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该宗地竞买保证金亦可用外币（暂限于美元、港币）交纳。如以外币交纳竞买保证金的，须交纳美元1962万元或港币15400万元。申请人应当在网上挂牌出让竞买保证金到账截止时间前登录惠州市公共资源交易中心</w:t>
      </w:r>
      <w:r>
        <w:rPr>
          <w:rFonts w:hint="eastAsia"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lang w:val="en-US" w:eastAsia="zh-CN"/>
        </w:rPr>
        <w:t>以下简称“交易中心”）土地与矿业网上挂牌交易系统（以下简称“网上挂牌交易系统”）获取竞买保证金支付账号。</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竞买保证金到账时间以网上挂牌交</w:t>
      </w:r>
      <w:r>
        <w:rPr>
          <w:rFonts w:hint="default" w:ascii="Times New Roman" w:hAnsi="Times New Roman" w:eastAsia="仿宋" w:cs="Times New Roman"/>
          <w:b w:val="0"/>
          <w:bCs w:val="0"/>
          <w:color w:val="auto"/>
          <w:sz w:val="32"/>
          <w:szCs w:val="32"/>
          <w:highlight w:val="none"/>
        </w:rPr>
        <w:t>易系统确认并发出《保证金到账通知书》为准。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b/>
          <w:bCs/>
          <w:color w:val="auto"/>
          <w:sz w:val="32"/>
          <w:szCs w:val="32"/>
          <w:u w:val="none"/>
        </w:rPr>
      </w:pPr>
      <w:r>
        <w:rPr>
          <w:rFonts w:hint="default" w:ascii="Times New Roman" w:hAnsi="Times New Roman" w:eastAsia="仿宋" w:cs="Times New Roman"/>
          <w:b/>
          <w:bCs/>
          <w:color w:val="auto"/>
          <w:sz w:val="32"/>
          <w:szCs w:val="32"/>
          <w:u w:val="none"/>
          <w:lang w:eastAsia="zh-CN"/>
        </w:rPr>
        <w:t>六、</w:t>
      </w:r>
      <w:r>
        <w:rPr>
          <w:rFonts w:hint="default" w:ascii="Times New Roman" w:hAnsi="Times New Roman" w:eastAsia="仿宋" w:cs="Times New Roman"/>
          <w:b/>
          <w:bCs/>
          <w:color w:val="auto"/>
          <w:sz w:val="32"/>
          <w:szCs w:val="32"/>
          <w:u w:val="none"/>
        </w:rPr>
        <w:t>竞买申请</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可以单独申请，也可以联合申请：</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补充条款；也可按约定直接与新公司签订《出让合同》。</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lang w:eastAsia="zh-CN"/>
        </w:rPr>
      </w:pPr>
      <w:r>
        <w:rPr>
          <w:rFonts w:hint="default" w:ascii="Times New Roman" w:hAnsi="Times New Roman" w:eastAsia="仿宋" w:cs="Times New Roman"/>
          <w:b w:val="0"/>
          <w:bCs w:val="0"/>
          <w:color w:val="auto"/>
          <w:sz w:val="32"/>
          <w:szCs w:val="32"/>
          <w:u w:val="none"/>
          <w:lang w:val="en-US" w:eastAsia="zh-CN"/>
        </w:rPr>
        <w:t>联合申请竞买的，联合竞买人在提交竞买申请材</w:t>
      </w:r>
      <w:r>
        <w:rPr>
          <w:rFonts w:hint="default" w:ascii="Times New Roman" w:hAnsi="Times New Roman" w:eastAsia="仿宋" w:cs="Times New Roman"/>
          <w:b w:val="0"/>
          <w:bCs w:val="0"/>
          <w:color w:val="auto"/>
          <w:sz w:val="32"/>
          <w:szCs w:val="32"/>
          <w:u w:val="none"/>
        </w:rPr>
        <w:t>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lang w:val="en-US" w:eastAsia="zh-CN"/>
        </w:rPr>
      </w:pPr>
      <w:r>
        <w:rPr>
          <w:rFonts w:hint="default" w:ascii="Times New Roman" w:hAnsi="Times New Roman" w:eastAsia="仿宋" w:cs="Times New Roman"/>
          <w:b w:val="0"/>
          <w:bCs w:val="0"/>
          <w:color w:val="auto"/>
          <w:sz w:val="32"/>
          <w:szCs w:val="32"/>
          <w:u w:val="none"/>
          <w:lang w:val="en-US" w:eastAsia="zh-CN"/>
        </w:rPr>
        <w:t>本宗国有建设用地使用权网上挂牌出让实行竞买资格后置审查。竞买申请人交纳足额竞买保证金即获得竞买报价权限。</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b/>
          <w:bCs/>
          <w:color w:val="auto"/>
          <w:sz w:val="32"/>
          <w:szCs w:val="32"/>
          <w:u w:val="none"/>
          <w:lang w:val="en-US" w:eastAsia="zh-CN"/>
        </w:rPr>
      </w:pPr>
      <w:r>
        <w:rPr>
          <w:rFonts w:hint="default" w:ascii="Times New Roman" w:hAnsi="Times New Roman" w:eastAsia="仿宋" w:cs="Times New Roman"/>
          <w:b/>
          <w:bCs/>
          <w:color w:val="auto"/>
          <w:sz w:val="32"/>
          <w:szCs w:val="32"/>
          <w:u w:val="none"/>
          <w:lang w:val="en-US" w:eastAsia="zh-CN"/>
        </w:rPr>
        <w:t>七、竞买人电子报价及电子限时竞价</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lang w:val="en-US" w:eastAsia="zh-CN"/>
        </w:rPr>
        <w:t>竞买人须详细阅读本宗地网上挂牌出让公告、竞买须知及网上挂牌交易系统操作指南，熟练操作网上挂牌交易系统，按竞买规则进行电子报价及电子限时竞价。</w:t>
      </w:r>
    </w:p>
    <w:p>
      <w:pPr>
        <w:pStyle w:val="3"/>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b/>
          <w:bCs/>
          <w:color w:val="auto"/>
          <w:kern w:val="2"/>
          <w:sz w:val="32"/>
          <w:szCs w:val="32"/>
          <w:u w:val="none"/>
          <w:lang w:val="en-US" w:eastAsia="zh-CN" w:bidi="ar-SA"/>
        </w:rPr>
      </w:pPr>
      <w:r>
        <w:rPr>
          <w:rFonts w:hint="default" w:ascii="Times New Roman" w:hAnsi="Times New Roman" w:eastAsia="仿宋" w:cs="Times New Roman"/>
          <w:b/>
          <w:bCs/>
          <w:color w:val="auto"/>
          <w:kern w:val="2"/>
          <w:sz w:val="32"/>
          <w:szCs w:val="32"/>
          <w:u w:val="none"/>
          <w:lang w:val="en-US" w:eastAsia="zh-CN" w:bidi="ar-SA"/>
        </w:rPr>
        <w:t>八、确定成交候选人</w:t>
      </w:r>
    </w:p>
    <w:p>
      <w:pPr>
        <w:pStyle w:val="3"/>
        <w:keepNext w:val="0"/>
        <w:keepLines w:val="0"/>
        <w:pageBreakBefore w:val="0"/>
        <w:kinsoku/>
        <w:wordWrap/>
        <w:overflowPunct/>
        <w:topLinePunct w:val="0"/>
        <w:autoSpaceDE/>
        <w:autoSpaceDN/>
        <w:bidi w:val="0"/>
        <w:adjustRightInd/>
        <w:snapToGrid/>
        <w:spacing w:line="240" w:lineRule="auto"/>
        <w:ind w:firstLine="579" w:firstLineChars="181"/>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u w:val="none"/>
        </w:rPr>
        <w:t>本</w:t>
      </w:r>
      <w:r>
        <w:rPr>
          <w:rFonts w:hint="default" w:ascii="Times New Roman" w:hAnsi="Times New Roman" w:eastAsia="仿宋" w:cs="Times New Roman"/>
          <w:b w:val="0"/>
          <w:bCs w:val="0"/>
          <w:color w:val="auto"/>
          <w:sz w:val="32"/>
          <w:szCs w:val="32"/>
          <w:u w:val="none"/>
          <w:lang w:eastAsia="zh-CN"/>
        </w:rPr>
        <w:t>宗</w:t>
      </w:r>
      <w:r>
        <w:rPr>
          <w:rFonts w:hint="default" w:ascii="Times New Roman" w:hAnsi="Times New Roman" w:eastAsia="仿宋" w:cs="Times New Roman"/>
          <w:b w:val="0"/>
          <w:bCs w:val="0"/>
          <w:color w:val="auto"/>
          <w:sz w:val="32"/>
          <w:szCs w:val="32"/>
          <w:u w:val="none"/>
        </w:rPr>
        <w:t>国有建设用地使用权网上挂牌出让为无底价挂牌，</w:t>
      </w:r>
      <w:r>
        <w:rPr>
          <w:rFonts w:hint="default" w:ascii="Times New Roman" w:hAnsi="Times New Roman" w:eastAsia="仿宋" w:cs="Times New Roman"/>
          <w:color w:val="auto"/>
          <w:kern w:val="2"/>
          <w:sz w:val="32"/>
          <w:szCs w:val="32"/>
          <w:u w:val="none"/>
          <w:lang w:val="en-US" w:eastAsia="zh-CN"/>
        </w:rPr>
        <w:t>当</w:t>
      </w:r>
      <w:r>
        <w:rPr>
          <w:rFonts w:hint="default" w:ascii="Times New Roman" w:hAnsi="Times New Roman" w:eastAsia="仿宋" w:cs="Times New Roman"/>
          <w:color w:val="auto"/>
          <w:kern w:val="2"/>
          <w:sz w:val="32"/>
          <w:szCs w:val="32"/>
          <w:highlight w:val="none"/>
          <w:u w:val="none"/>
          <w:lang w:val="en-US" w:eastAsia="zh-CN"/>
        </w:rPr>
        <w:t>竞价</w:t>
      </w:r>
      <w:r>
        <w:rPr>
          <w:rFonts w:hint="default" w:ascii="Times New Roman" w:hAnsi="Times New Roman" w:eastAsia="仿宋" w:cs="Times New Roman"/>
          <w:color w:val="auto"/>
          <w:kern w:val="2"/>
          <w:sz w:val="32"/>
          <w:szCs w:val="32"/>
          <w:u w:val="none"/>
          <w:lang w:val="en-US" w:eastAsia="zh-CN"/>
        </w:rPr>
        <w:t>达到53820万元时，转入摇号方式确定</w:t>
      </w:r>
      <w:r>
        <w:rPr>
          <w:rFonts w:hint="default" w:ascii="Times New Roman" w:hAnsi="Times New Roman" w:eastAsia="仿宋" w:cs="Times New Roman"/>
          <w:b w:val="0"/>
          <w:bCs w:val="0"/>
          <w:color w:val="auto"/>
          <w:sz w:val="32"/>
          <w:szCs w:val="32"/>
          <w:u w:val="none"/>
        </w:rPr>
        <w:t>成交候选人</w:t>
      </w:r>
      <w:r>
        <w:rPr>
          <w:rFonts w:hint="default" w:ascii="Times New Roman" w:hAnsi="Times New Roman" w:eastAsia="仿宋" w:cs="Times New Roman"/>
          <w:b w:val="0"/>
          <w:bCs w:val="0"/>
          <w:color w:val="auto"/>
          <w:sz w:val="32"/>
          <w:szCs w:val="32"/>
          <w:highlight w:val="none"/>
        </w:rPr>
        <w:t>。</w:t>
      </w:r>
    </w:p>
    <w:p>
      <w:pPr>
        <w:pStyle w:val="3"/>
        <w:keepNext w:val="0"/>
        <w:keepLines w:val="0"/>
        <w:pageBreakBefore w:val="0"/>
        <w:kinsoku/>
        <w:wordWrap/>
        <w:overflowPunct/>
        <w:topLinePunct w:val="0"/>
        <w:autoSpaceDE/>
        <w:autoSpaceDN/>
        <w:bidi w:val="0"/>
        <w:adjustRightInd/>
        <w:snapToGrid/>
        <w:spacing w:line="240" w:lineRule="auto"/>
        <w:ind w:firstLine="581" w:firstLineChars="181"/>
        <w:textAlignment w:val="auto"/>
        <w:rPr>
          <w:rFonts w:hint="default" w:ascii="Times New Roman" w:hAnsi="Times New Roman" w:eastAsia="仿宋" w:cs="Times New Roman"/>
          <w:b/>
          <w:bCs/>
          <w:color w:val="auto"/>
          <w:sz w:val="32"/>
          <w:szCs w:val="32"/>
          <w:u w:val="none"/>
        </w:rPr>
      </w:pPr>
      <w:r>
        <w:rPr>
          <w:rFonts w:hint="default" w:ascii="Times New Roman" w:hAnsi="Times New Roman" w:eastAsia="仿宋" w:cs="Times New Roman"/>
          <w:b/>
          <w:bCs/>
          <w:color w:val="auto"/>
          <w:sz w:val="32"/>
          <w:szCs w:val="32"/>
          <w:u w:val="none"/>
        </w:rPr>
        <w:t>九、资格审查</w:t>
      </w:r>
    </w:p>
    <w:p>
      <w:pPr>
        <w:pStyle w:val="3"/>
        <w:keepNext w:val="0"/>
        <w:keepLines w:val="0"/>
        <w:pageBreakBefore w:val="0"/>
        <w:kinsoku/>
        <w:wordWrap/>
        <w:overflowPunct/>
        <w:topLinePunct w:val="0"/>
        <w:autoSpaceDE/>
        <w:autoSpaceDN/>
        <w:bidi w:val="0"/>
        <w:adjustRightInd/>
        <w:snapToGrid/>
        <w:spacing w:line="240" w:lineRule="auto"/>
        <w:ind w:firstLine="579" w:firstLineChars="181"/>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仿宋" w:cs="Times New Roman"/>
          <w:b w:val="0"/>
          <w:bCs w:val="0"/>
          <w:color w:val="auto"/>
          <w:sz w:val="32"/>
          <w:szCs w:val="32"/>
          <w:u w:val="none"/>
        </w:rPr>
        <w:t>成交候选人应在网上挂牌交易系统确定</w:t>
      </w:r>
      <w:r>
        <w:rPr>
          <w:rFonts w:hint="default" w:ascii="Times New Roman" w:hAnsi="Times New Roman" w:eastAsia="仿宋" w:cs="Times New Roman"/>
          <w:b w:val="0"/>
          <w:bCs w:val="0"/>
          <w:color w:val="auto"/>
          <w:sz w:val="32"/>
          <w:szCs w:val="32"/>
          <w:highlight w:val="none"/>
          <w:u w:val="none"/>
        </w:rPr>
        <w:t>成交候选人之日起</w:t>
      </w:r>
      <w:r>
        <w:rPr>
          <w:rFonts w:hint="default" w:ascii="Times New Roman" w:hAnsi="Times New Roman" w:eastAsia="仿宋" w:cs="Times New Roman"/>
          <w:b w:val="0"/>
          <w:bCs w:val="0"/>
          <w:color w:val="auto"/>
          <w:sz w:val="32"/>
          <w:szCs w:val="32"/>
          <w:highlight w:val="none"/>
          <w:u w:val="none"/>
          <w:lang w:val="en-US" w:eastAsia="zh-CN"/>
        </w:rPr>
        <w:t>3</w:t>
      </w:r>
      <w:r>
        <w:rPr>
          <w:rFonts w:hint="default" w:ascii="Times New Roman" w:hAnsi="Times New Roman" w:eastAsia="仿宋" w:cs="Times New Roman"/>
          <w:b w:val="0"/>
          <w:bCs w:val="0"/>
          <w:color w:val="auto"/>
          <w:sz w:val="32"/>
          <w:szCs w:val="32"/>
          <w:highlight w:val="none"/>
          <w:u w:val="none"/>
        </w:rPr>
        <w:t>个工作日内将竞买申请纸质材料提交至我局，由我局对竞买资格进行审查。我局将于</w:t>
      </w:r>
      <w:r>
        <w:rPr>
          <w:rFonts w:hint="default" w:ascii="Times New Roman" w:hAnsi="Times New Roman" w:eastAsia="仿宋" w:cs="Times New Roman"/>
          <w:b w:val="0"/>
          <w:bCs w:val="0"/>
          <w:color w:val="auto"/>
          <w:sz w:val="32"/>
          <w:szCs w:val="32"/>
          <w:highlight w:val="none"/>
          <w:u w:val="none"/>
          <w:lang w:val="en-US" w:eastAsia="zh-CN"/>
        </w:rPr>
        <w:t>2022</w:t>
      </w:r>
      <w:r>
        <w:rPr>
          <w:rFonts w:hint="default" w:ascii="Times New Roman" w:hAnsi="Times New Roman" w:eastAsia="仿宋" w:cs="Times New Roman"/>
          <w:b w:val="0"/>
          <w:bCs w:val="0"/>
          <w:color w:val="auto"/>
          <w:sz w:val="32"/>
          <w:szCs w:val="32"/>
          <w:highlight w:val="none"/>
          <w:u w:val="none"/>
        </w:rPr>
        <w:t>年</w:t>
      </w:r>
      <w:r>
        <w:rPr>
          <w:rFonts w:hint="default" w:ascii="Times New Roman" w:hAnsi="Times New Roman" w:eastAsia="仿宋" w:cs="Times New Roman"/>
          <w:b w:val="0"/>
          <w:bCs w:val="0"/>
          <w:color w:val="auto"/>
          <w:sz w:val="32"/>
          <w:szCs w:val="32"/>
          <w:highlight w:val="none"/>
          <w:u w:val="none"/>
          <w:lang w:val="en-US" w:eastAsia="zh-CN"/>
        </w:rPr>
        <w:t>12</w:t>
      </w:r>
      <w:r>
        <w:rPr>
          <w:rFonts w:hint="default" w:ascii="Times New Roman" w:hAnsi="Times New Roman" w:eastAsia="仿宋" w:cs="Times New Roman"/>
          <w:b w:val="0"/>
          <w:bCs w:val="0"/>
          <w:color w:val="auto"/>
          <w:sz w:val="32"/>
          <w:szCs w:val="32"/>
          <w:highlight w:val="none"/>
          <w:u w:val="none"/>
        </w:rPr>
        <w:t>月</w:t>
      </w:r>
      <w:r>
        <w:rPr>
          <w:rFonts w:hint="default" w:ascii="Times New Roman" w:hAnsi="Times New Roman" w:eastAsia="仿宋" w:cs="Times New Roman"/>
          <w:b w:val="0"/>
          <w:bCs w:val="0"/>
          <w:color w:val="auto"/>
          <w:sz w:val="32"/>
          <w:szCs w:val="32"/>
          <w:highlight w:val="none"/>
          <w:u w:val="none"/>
          <w:lang w:val="en-US" w:eastAsia="zh-CN"/>
        </w:rPr>
        <w:t>23</w:t>
      </w:r>
      <w:r>
        <w:rPr>
          <w:rFonts w:hint="default" w:ascii="Times New Roman" w:hAnsi="Times New Roman" w:eastAsia="仿宋" w:cs="Times New Roman"/>
          <w:b w:val="0"/>
          <w:bCs w:val="0"/>
          <w:color w:val="auto"/>
          <w:sz w:val="32"/>
          <w:szCs w:val="32"/>
          <w:highlight w:val="none"/>
          <w:u w:val="none"/>
        </w:rPr>
        <w:t xml:space="preserve">日前确定符合竞买资格的成交候选人为竞得人。 </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仿宋" w:cs="Times New Roman"/>
          <w:b w:val="0"/>
          <w:bCs w:val="0"/>
          <w:color w:val="auto"/>
          <w:sz w:val="32"/>
          <w:szCs w:val="32"/>
          <w:highlight w:val="none"/>
          <w:u w:val="none"/>
        </w:rPr>
        <w:t>成交候选人资格审查须提交下列材料：</w:t>
      </w:r>
    </w:p>
    <w:p>
      <w:pPr>
        <w:pStyle w:val="8"/>
        <w:keepNext w:val="0"/>
        <w:keepLines w:val="0"/>
        <w:pageBreakBefore w:val="0"/>
        <w:widowControl/>
        <w:numPr>
          <w:ilvl w:val="0"/>
          <w:numId w:val="1"/>
        </w:numPr>
        <w:kinsoku/>
        <w:wordWrap/>
        <w:overflowPunct/>
        <w:topLinePunct w:val="0"/>
        <w:autoSpaceDE/>
        <w:autoSpaceDN/>
        <w:bidi w:val="0"/>
        <w:adjustRightInd/>
        <w:snapToGrid/>
        <w:spacing w:line="240" w:lineRule="auto"/>
        <w:ind w:firstLine="675" w:firstLineChars="211"/>
        <w:textAlignment w:val="auto"/>
        <w:rPr>
          <w:rFonts w:hint="default" w:ascii="Times New Roman" w:hAnsi="Times New Roman" w:eastAsia="仿宋" w:cs="Times New Roman"/>
          <w:b w:val="0"/>
          <w:bCs w:val="0"/>
          <w:color w:val="auto"/>
          <w:kern w:val="2"/>
          <w:sz w:val="32"/>
          <w:szCs w:val="32"/>
          <w:u w:val="none"/>
        </w:rPr>
      </w:pPr>
      <w:r>
        <w:rPr>
          <w:rFonts w:hint="default" w:ascii="Times New Roman" w:hAnsi="Times New Roman" w:eastAsia="仿宋" w:cs="Times New Roman"/>
          <w:b w:val="0"/>
          <w:bCs w:val="0"/>
          <w:color w:val="auto"/>
          <w:kern w:val="2"/>
          <w:sz w:val="32"/>
          <w:szCs w:val="32"/>
          <w:u w:val="none"/>
        </w:rPr>
        <w:t>《竞买申请书》（加盖公章）；</w:t>
      </w:r>
    </w:p>
    <w:p>
      <w:pPr>
        <w:pStyle w:val="8"/>
        <w:keepNext w:val="0"/>
        <w:keepLines w:val="0"/>
        <w:pageBreakBefore w:val="0"/>
        <w:widowControl/>
        <w:numPr>
          <w:ilvl w:val="0"/>
          <w:numId w:val="1"/>
        </w:numPr>
        <w:kinsoku/>
        <w:wordWrap/>
        <w:overflowPunct/>
        <w:topLinePunct w:val="0"/>
        <w:autoSpaceDE/>
        <w:autoSpaceDN/>
        <w:bidi w:val="0"/>
        <w:adjustRightInd/>
        <w:snapToGrid/>
        <w:spacing w:line="240" w:lineRule="auto"/>
        <w:ind w:firstLine="675" w:firstLineChars="211"/>
        <w:textAlignment w:val="auto"/>
        <w:rPr>
          <w:rFonts w:hint="default" w:ascii="Times New Roman" w:hAnsi="Times New Roman" w:eastAsia="仿宋" w:cs="Times New Roman"/>
          <w:b w:val="0"/>
          <w:bCs w:val="0"/>
          <w:color w:val="auto"/>
          <w:kern w:val="2"/>
          <w:sz w:val="32"/>
          <w:szCs w:val="32"/>
          <w:u w:val="none"/>
        </w:rPr>
      </w:pPr>
      <w:r>
        <w:rPr>
          <w:rFonts w:hint="default" w:ascii="Times New Roman" w:hAnsi="Times New Roman" w:eastAsia="仿宋" w:cs="Times New Roman"/>
          <w:b w:val="0"/>
          <w:bCs w:val="0"/>
          <w:color w:val="auto"/>
          <w:kern w:val="2"/>
          <w:sz w:val="32"/>
          <w:szCs w:val="32"/>
          <w:u w:val="none"/>
        </w:rPr>
        <w:t>《竞价结果通知书》（加盖公章）；</w:t>
      </w:r>
    </w:p>
    <w:p>
      <w:pPr>
        <w:pStyle w:val="8"/>
        <w:keepNext w:val="0"/>
        <w:keepLines w:val="0"/>
        <w:pageBreakBefore w:val="0"/>
        <w:widowControl/>
        <w:numPr>
          <w:ilvl w:val="0"/>
          <w:numId w:val="1"/>
        </w:numPr>
        <w:kinsoku/>
        <w:wordWrap/>
        <w:overflowPunct/>
        <w:topLinePunct w:val="0"/>
        <w:autoSpaceDE/>
        <w:autoSpaceDN/>
        <w:bidi w:val="0"/>
        <w:adjustRightInd/>
        <w:snapToGrid/>
        <w:spacing w:line="240" w:lineRule="auto"/>
        <w:ind w:firstLine="675" w:firstLineChars="211"/>
        <w:textAlignment w:val="auto"/>
        <w:rPr>
          <w:rFonts w:hint="default" w:ascii="Times New Roman" w:hAnsi="Times New Roman" w:eastAsia="仿宋" w:cs="Times New Roman"/>
          <w:b w:val="0"/>
          <w:bCs w:val="0"/>
          <w:color w:val="auto"/>
          <w:kern w:val="2"/>
          <w:sz w:val="32"/>
          <w:szCs w:val="32"/>
          <w:u w:val="none"/>
        </w:rPr>
      </w:pPr>
      <w:r>
        <w:rPr>
          <w:rFonts w:hint="default" w:ascii="Times New Roman" w:hAnsi="Times New Roman" w:eastAsia="仿宋" w:cs="Times New Roman"/>
          <w:b w:val="0"/>
          <w:bCs w:val="0"/>
          <w:color w:val="auto"/>
          <w:kern w:val="2"/>
          <w:sz w:val="32"/>
          <w:szCs w:val="32"/>
          <w:u w:val="none"/>
        </w:rPr>
        <w:t>《竞买保证金到账通知书》（加盖公章）；</w:t>
      </w:r>
    </w:p>
    <w:p>
      <w:pPr>
        <w:pStyle w:val="8"/>
        <w:keepNext w:val="0"/>
        <w:keepLines w:val="0"/>
        <w:pageBreakBefore w:val="0"/>
        <w:widowControl/>
        <w:numPr>
          <w:ilvl w:val="0"/>
          <w:numId w:val="1"/>
        </w:numPr>
        <w:kinsoku/>
        <w:wordWrap/>
        <w:overflowPunct/>
        <w:topLinePunct w:val="0"/>
        <w:autoSpaceDE/>
        <w:autoSpaceDN/>
        <w:bidi w:val="0"/>
        <w:adjustRightInd/>
        <w:snapToGrid/>
        <w:spacing w:line="240" w:lineRule="auto"/>
        <w:ind w:firstLine="675" w:firstLineChars="211"/>
        <w:textAlignment w:val="auto"/>
        <w:rPr>
          <w:rFonts w:hint="default" w:ascii="Times New Roman" w:hAnsi="Times New Roman" w:eastAsia="仿宋" w:cs="Times New Roman"/>
          <w:b w:val="0"/>
          <w:bCs w:val="0"/>
          <w:color w:val="auto"/>
          <w:kern w:val="2"/>
          <w:sz w:val="32"/>
          <w:szCs w:val="32"/>
          <w:u w:val="none"/>
        </w:rPr>
      </w:pPr>
      <w:r>
        <w:rPr>
          <w:rFonts w:hint="default" w:ascii="Times New Roman" w:hAnsi="Times New Roman" w:eastAsia="仿宋" w:cs="Times New Roman"/>
          <w:b w:val="0"/>
          <w:bCs w:val="0"/>
          <w:color w:val="auto"/>
          <w:kern w:val="2"/>
          <w:sz w:val="32"/>
          <w:szCs w:val="32"/>
          <w:u w:val="none"/>
        </w:rPr>
        <w:t>竞买保证金转账凭证复印件（加盖公章）；</w:t>
      </w:r>
    </w:p>
    <w:p>
      <w:pPr>
        <w:pStyle w:val="8"/>
        <w:keepNext w:val="0"/>
        <w:keepLines w:val="0"/>
        <w:pageBreakBefore w:val="0"/>
        <w:widowControl/>
        <w:numPr>
          <w:ilvl w:val="0"/>
          <w:numId w:val="1"/>
        </w:numPr>
        <w:kinsoku/>
        <w:wordWrap/>
        <w:overflowPunct/>
        <w:topLinePunct w:val="0"/>
        <w:autoSpaceDE/>
        <w:autoSpaceDN/>
        <w:bidi w:val="0"/>
        <w:adjustRightInd/>
        <w:snapToGrid/>
        <w:spacing w:line="240" w:lineRule="auto"/>
        <w:ind w:firstLine="675" w:firstLineChars="211"/>
        <w:textAlignment w:val="auto"/>
        <w:rPr>
          <w:rFonts w:hint="default" w:ascii="Times New Roman" w:hAnsi="Times New Roman" w:eastAsia="仿宋" w:cs="Times New Roman"/>
          <w:b w:val="0"/>
          <w:bCs w:val="0"/>
          <w:color w:val="auto"/>
          <w:kern w:val="2"/>
          <w:sz w:val="32"/>
          <w:szCs w:val="32"/>
          <w:u w:val="none"/>
        </w:rPr>
      </w:pPr>
      <w:r>
        <w:rPr>
          <w:rFonts w:hint="default" w:ascii="Times New Roman" w:hAnsi="Times New Roman" w:eastAsia="仿宋" w:cs="Times New Roman"/>
          <w:b w:val="0"/>
          <w:bCs w:val="0"/>
          <w:color w:val="auto"/>
          <w:kern w:val="2"/>
          <w:sz w:val="32"/>
          <w:szCs w:val="32"/>
          <w:u w:val="none"/>
        </w:rPr>
        <w:t>申请竞买人有效的《营业执照》复印件（加盖公章）；</w:t>
      </w:r>
    </w:p>
    <w:p>
      <w:pPr>
        <w:pStyle w:val="8"/>
        <w:keepNext w:val="0"/>
        <w:keepLines w:val="0"/>
        <w:pageBreakBefore w:val="0"/>
        <w:widowControl/>
        <w:numPr>
          <w:ilvl w:val="0"/>
          <w:numId w:val="1"/>
        </w:numPr>
        <w:kinsoku/>
        <w:wordWrap/>
        <w:overflowPunct/>
        <w:topLinePunct w:val="0"/>
        <w:autoSpaceDE/>
        <w:autoSpaceDN/>
        <w:bidi w:val="0"/>
        <w:adjustRightInd/>
        <w:snapToGrid/>
        <w:spacing w:line="240" w:lineRule="auto"/>
        <w:ind w:firstLine="675" w:firstLineChars="211"/>
        <w:textAlignment w:val="auto"/>
        <w:rPr>
          <w:rFonts w:hint="default" w:ascii="Times New Roman" w:hAnsi="Times New Roman" w:eastAsia="仿宋" w:cs="Times New Roman"/>
          <w:b w:val="0"/>
          <w:bCs w:val="0"/>
          <w:color w:val="auto"/>
          <w:kern w:val="2"/>
          <w:sz w:val="32"/>
          <w:szCs w:val="32"/>
          <w:u w:val="none"/>
        </w:rPr>
      </w:pPr>
      <w:r>
        <w:rPr>
          <w:rFonts w:hint="default" w:ascii="Times New Roman" w:hAnsi="Times New Roman" w:eastAsia="仿宋" w:cs="Times New Roman"/>
          <w:b w:val="0"/>
          <w:bCs w:val="0"/>
          <w:color w:val="auto"/>
          <w:kern w:val="2"/>
          <w:sz w:val="32"/>
          <w:szCs w:val="32"/>
          <w:u w:val="none"/>
        </w:rPr>
        <w:t>法定代表人身份证复印件（加盖公章）；</w:t>
      </w:r>
    </w:p>
    <w:p>
      <w:pPr>
        <w:pStyle w:val="8"/>
        <w:keepNext w:val="0"/>
        <w:keepLines w:val="0"/>
        <w:pageBreakBefore w:val="0"/>
        <w:widowControl/>
        <w:numPr>
          <w:ilvl w:val="0"/>
          <w:numId w:val="1"/>
        </w:numPr>
        <w:kinsoku/>
        <w:wordWrap/>
        <w:overflowPunct/>
        <w:topLinePunct w:val="0"/>
        <w:autoSpaceDE/>
        <w:autoSpaceDN/>
        <w:bidi w:val="0"/>
        <w:adjustRightInd/>
        <w:snapToGrid/>
        <w:spacing w:line="240" w:lineRule="auto"/>
        <w:ind w:firstLine="675" w:firstLineChars="211"/>
        <w:textAlignment w:val="auto"/>
        <w:rPr>
          <w:rFonts w:hint="default" w:ascii="Times New Roman" w:hAnsi="Times New Roman" w:eastAsia="仿宋" w:cs="Times New Roman"/>
          <w:b w:val="0"/>
          <w:bCs w:val="0"/>
          <w:color w:val="auto"/>
          <w:kern w:val="2"/>
          <w:sz w:val="32"/>
          <w:szCs w:val="32"/>
          <w:u w:val="none"/>
        </w:rPr>
      </w:pPr>
      <w:r>
        <w:rPr>
          <w:rFonts w:hint="default" w:ascii="Times New Roman" w:hAnsi="Times New Roman" w:eastAsia="仿宋" w:cs="Times New Roman"/>
          <w:b w:val="0"/>
          <w:bCs w:val="0"/>
          <w:color w:val="auto"/>
          <w:kern w:val="2"/>
          <w:sz w:val="32"/>
          <w:szCs w:val="32"/>
          <w:u w:val="none"/>
        </w:rPr>
        <w:t>授权他人代理的授权委托书及代理人身份证复印件（核对原件）；</w:t>
      </w:r>
    </w:p>
    <w:p>
      <w:pPr>
        <w:pStyle w:val="8"/>
        <w:keepNext w:val="0"/>
        <w:keepLines w:val="0"/>
        <w:pageBreakBefore w:val="0"/>
        <w:widowControl/>
        <w:numPr>
          <w:ilvl w:val="0"/>
          <w:numId w:val="1"/>
        </w:numPr>
        <w:kinsoku/>
        <w:wordWrap/>
        <w:overflowPunct/>
        <w:topLinePunct w:val="0"/>
        <w:autoSpaceDE/>
        <w:autoSpaceDN/>
        <w:bidi w:val="0"/>
        <w:adjustRightInd/>
        <w:snapToGrid/>
        <w:spacing w:line="240" w:lineRule="auto"/>
        <w:ind w:firstLine="675" w:firstLineChars="211"/>
        <w:textAlignment w:val="auto"/>
        <w:rPr>
          <w:rFonts w:hint="default" w:ascii="Times New Roman" w:hAnsi="Times New Roman" w:eastAsia="仿宋" w:cs="Times New Roman"/>
          <w:b w:val="0"/>
          <w:bCs w:val="0"/>
          <w:color w:val="auto"/>
          <w:kern w:val="2"/>
          <w:sz w:val="32"/>
          <w:szCs w:val="32"/>
          <w:u w:val="none"/>
          <w:lang w:val="en-US" w:eastAsia="zh-CN"/>
        </w:rPr>
      </w:pPr>
      <w:r>
        <w:rPr>
          <w:rFonts w:hint="default" w:ascii="Times New Roman" w:hAnsi="Times New Roman" w:eastAsia="仿宋" w:cs="Times New Roman"/>
          <w:b w:val="0"/>
          <w:bCs w:val="0"/>
          <w:color w:val="auto"/>
          <w:kern w:val="2"/>
          <w:sz w:val="32"/>
          <w:szCs w:val="32"/>
          <w:u w:val="none"/>
        </w:rPr>
        <w:t>联合竞买协议</w:t>
      </w:r>
      <w:r>
        <w:rPr>
          <w:rFonts w:hint="default" w:ascii="Times New Roman" w:hAnsi="Times New Roman" w:eastAsia="仿宋" w:cs="Times New Roman"/>
          <w:b w:val="0"/>
          <w:bCs w:val="0"/>
          <w:color w:val="auto"/>
          <w:kern w:val="2"/>
          <w:sz w:val="32"/>
          <w:szCs w:val="32"/>
          <w:u w:val="none"/>
          <w:lang w:eastAsia="zh-CN"/>
        </w:rPr>
        <w:t>（联合竞买的提供）</w:t>
      </w:r>
      <w:r>
        <w:rPr>
          <w:rFonts w:hint="default" w:ascii="Times New Roman" w:hAnsi="Times New Roman" w:eastAsia="仿宋" w:cs="Times New Roman"/>
          <w:b w:val="0"/>
          <w:bCs w:val="0"/>
          <w:color w:val="auto"/>
          <w:kern w:val="2"/>
          <w:sz w:val="32"/>
          <w:szCs w:val="32"/>
          <w:u w:val="none"/>
          <w:lang w:val="en-US" w:eastAsia="zh-CN"/>
        </w:rPr>
        <w:t>；</w:t>
      </w:r>
    </w:p>
    <w:p>
      <w:pPr>
        <w:pStyle w:val="8"/>
        <w:keepNext w:val="0"/>
        <w:keepLines w:val="0"/>
        <w:pageBreakBefore w:val="0"/>
        <w:widowControl/>
        <w:numPr>
          <w:ilvl w:val="0"/>
          <w:numId w:val="1"/>
        </w:numPr>
        <w:kinsoku/>
        <w:wordWrap/>
        <w:overflowPunct/>
        <w:topLinePunct w:val="0"/>
        <w:autoSpaceDE/>
        <w:autoSpaceDN/>
        <w:bidi w:val="0"/>
        <w:adjustRightInd/>
        <w:snapToGrid/>
        <w:spacing w:line="240" w:lineRule="auto"/>
        <w:ind w:firstLine="675" w:firstLineChars="211"/>
        <w:textAlignment w:val="auto"/>
        <w:rPr>
          <w:rFonts w:hint="default" w:ascii="Times New Roman" w:hAnsi="Times New Roman" w:eastAsia="仿宋" w:cs="Times New Roman"/>
          <w:b w:val="0"/>
          <w:bCs w:val="0"/>
          <w:color w:val="auto"/>
          <w:kern w:val="2"/>
          <w:sz w:val="32"/>
          <w:szCs w:val="32"/>
          <w:u w:val="none"/>
          <w:lang w:val="en-US" w:eastAsia="zh-CN"/>
        </w:rPr>
      </w:pPr>
      <w:r>
        <w:rPr>
          <w:rFonts w:hint="default" w:ascii="Times New Roman" w:hAnsi="Times New Roman" w:eastAsia="仿宋" w:cs="Times New Roman"/>
          <w:b w:val="0"/>
          <w:bCs w:val="0"/>
          <w:color w:val="auto"/>
          <w:kern w:val="2"/>
          <w:sz w:val="32"/>
          <w:szCs w:val="32"/>
          <w:u w:val="none"/>
          <w:lang w:val="en-US" w:eastAsia="zh-CN"/>
        </w:rPr>
        <w:t>竞买人及其控股股东不存在违法、违规、违约行为的承诺书；</w:t>
      </w:r>
    </w:p>
    <w:p>
      <w:pPr>
        <w:pStyle w:val="8"/>
        <w:keepNext w:val="0"/>
        <w:keepLines w:val="0"/>
        <w:pageBreakBefore w:val="0"/>
        <w:widowControl/>
        <w:numPr>
          <w:ilvl w:val="0"/>
          <w:numId w:val="1"/>
        </w:numPr>
        <w:kinsoku/>
        <w:wordWrap/>
        <w:overflowPunct/>
        <w:topLinePunct w:val="0"/>
        <w:autoSpaceDE/>
        <w:autoSpaceDN/>
        <w:bidi w:val="0"/>
        <w:adjustRightInd/>
        <w:snapToGrid/>
        <w:spacing w:line="240" w:lineRule="auto"/>
        <w:ind w:firstLine="675" w:firstLineChars="211"/>
        <w:textAlignment w:val="auto"/>
        <w:rPr>
          <w:rFonts w:hint="default" w:ascii="Times New Roman" w:hAnsi="Times New Roman" w:eastAsia="仿宋" w:cs="Times New Roman"/>
          <w:b w:val="0"/>
          <w:bCs w:val="0"/>
          <w:color w:val="auto"/>
          <w:kern w:val="2"/>
          <w:sz w:val="32"/>
          <w:szCs w:val="32"/>
          <w:u w:val="none"/>
          <w:lang w:val="en-US" w:eastAsia="zh-CN" w:bidi="ar-SA"/>
        </w:rPr>
      </w:pPr>
      <w:r>
        <w:rPr>
          <w:rFonts w:hint="default" w:ascii="Times New Roman" w:hAnsi="Times New Roman" w:eastAsia="仿宋" w:cs="Times New Roman"/>
          <w:b w:val="0"/>
          <w:bCs w:val="0"/>
          <w:color w:val="auto"/>
          <w:kern w:val="2"/>
          <w:sz w:val="32"/>
          <w:szCs w:val="32"/>
          <w:u w:val="none"/>
          <w:lang w:val="en-US" w:eastAsia="zh-CN" w:bidi="ar-SA"/>
        </w:rPr>
        <w:t>房地产开发资质材料；</w:t>
      </w:r>
    </w:p>
    <w:p>
      <w:pPr>
        <w:pStyle w:val="8"/>
        <w:keepNext w:val="0"/>
        <w:keepLines w:val="0"/>
        <w:pageBreakBefore w:val="0"/>
        <w:widowControl/>
        <w:numPr>
          <w:ilvl w:val="0"/>
          <w:numId w:val="1"/>
        </w:numPr>
        <w:kinsoku/>
        <w:wordWrap/>
        <w:overflowPunct/>
        <w:topLinePunct w:val="0"/>
        <w:autoSpaceDE/>
        <w:autoSpaceDN/>
        <w:bidi w:val="0"/>
        <w:adjustRightInd/>
        <w:snapToGrid/>
        <w:spacing w:line="240" w:lineRule="auto"/>
        <w:ind w:firstLine="675" w:firstLineChars="211"/>
        <w:textAlignment w:val="auto"/>
        <w:rPr>
          <w:rFonts w:hint="default" w:ascii="Times New Roman" w:hAnsi="Times New Roman" w:eastAsia="仿宋" w:cs="Times New Roman"/>
          <w:b w:val="0"/>
          <w:bCs w:val="0"/>
          <w:color w:val="auto"/>
          <w:kern w:val="2"/>
          <w:sz w:val="32"/>
          <w:szCs w:val="32"/>
          <w:u w:val="none"/>
          <w:lang w:val="en-US" w:eastAsia="zh-CN" w:bidi="ar-SA"/>
        </w:rPr>
      </w:pPr>
      <w:r>
        <w:rPr>
          <w:rFonts w:hint="default" w:ascii="Times New Roman" w:hAnsi="Times New Roman" w:eastAsia="仿宋" w:cs="Times New Roman"/>
          <w:b w:val="0"/>
          <w:bCs w:val="0"/>
          <w:color w:val="auto"/>
          <w:kern w:val="2"/>
          <w:sz w:val="32"/>
          <w:szCs w:val="32"/>
          <w:u w:val="none"/>
          <w:lang w:val="en-US" w:eastAsia="zh-CN" w:bidi="ar-SA"/>
        </w:rPr>
        <w:t>购地资金来源相应证明及承诺书。</w:t>
      </w:r>
    </w:p>
    <w:p>
      <w:pPr>
        <w:pStyle w:val="8"/>
        <w:keepNext w:val="0"/>
        <w:keepLines w:val="0"/>
        <w:pageBreakBefore w:val="0"/>
        <w:widowControl/>
        <w:numPr>
          <w:ilvl w:val="0"/>
          <w:numId w:val="2"/>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b/>
          <w:bCs/>
          <w:color w:val="auto"/>
          <w:kern w:val="2"/>
          <w:sz w:val="32"/>
          <w:szCs w:val="32"/>
          <w:u w:val="none"/>
          <w:lang w:val="en-US" w:eastAsia="zh-CN" w:bidi="ar-SA"/>
        </w:rPr>
      </w:pPr>
      <w:r>
        <w:rPr>
          <w:rFonts w:hint="default" w:ascii="Times New Roman" w:hAnsi="Times New Roman" w:eastAsia="仿宋" w:cs="Times New Roman"/>
          <w:b/>
          <w:bCs/>
          <w:color w:val="auto"/>
          <w:kern w:val="2"/>
          <w:sz w:val="32"/>
          <w:szCs w:val="32"/>
          <w:u w:val="none"/>
          <w:lang w:val="en-US" w:eastAsia="zh-CN" w:bidi="ar-SA"/>
        </w:rPr>
        <w:t>签订交易成交确认书及出让合同</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kern w:val="2"/>
          <w:sz w:val="32"/>
          <w:szCs w:val="32"/>
          <w:u w:val="none"/>
          <w:lang w:val="en-US" w:eastAsia="zh-CN"/>
        </w:rPr>
        <w:t>竞得人应在接到竞得人确定通知之日起</w:t>
      </w:r>
      <w:r>
        <w:rPr>
          <w:rFonts w:hint="default" w:ascii="Times New Roman" w:hAnsi="Times New Roman" w:eastAsia="仿宋" w:cs="Times New Roman"/>
          <w:b w:val="0"/>
          <w:bCs w:val="0"/>
          <w:color w:val="auto"/>
          <w:kern w:val="2"/>
          <w:sz w:val="32"/>
          <w:szCs w:val="32"/>
          <w:highlight w:val="none"/>
          <w:u w:val="none"/>
          <w:lang w:val="en-US" w:eastAsia="zh-CN"/>
        </w:rPr>
        <w:t>5</w:t>
      </w:r>
      <w:r>
        <w:rPr>
          <w:rFonts w:hint="default" w:ascii="Times New Roman" w:hAnsi="Times New Roman" w:eastAsia="仿宋" w:cs="Times New Roman"/>
          <w:b w:val="0"/>
          <w:bCs w:val="0"/>
          <w:color w:val="auto"/>
          <w:kern w:val="2"/>
          <w:sz w:val="32"/>
          <w:szCs w:val="32"/>
          <w:u w:val="none"/>
          <w:lang w:val="en-US" w:eastAsia="zh-CN"/>
        </w:rPr>
        <w:t>个工作日内与我局、交易中心签订《成交确认书》，在签订《成交确认书》之日起10个工作日内与我局签订《国有建设用地使用权出让合同》。</w:t>
      </w:r>
    </w:p>
    <w:p>
      <w:pPr>
        <w:pStyle w:val="8"/>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b/>
          <w:bCs/>
          <w:color w:val="auto"/>
          <w:kern w:val="2"/>
          <w:sz w:val="32"/>
          <w:szCs w:val="32"/>
          <w:u w:val="none"/>
          <w:lang w:val="en-US" w:eastAsia="zh-CN"/>
        </w:rPr>
      </w:pPr>
      <w:r>
        <w:rPr>
          <w:rFonts w:hint="default" w:ascii="Times New Roman" w:hAnsi="Times New Roman" w:eastAsia="仿宋" w:cs="Times New Roman"/>
          <w:b/>
          <w:bCs/>
          <w:color w:val="auto"/>
          <w:kern w:val="2"/>
          <w:sz w:val="32"/>
          <w:szCs w:val="32"/>
          <w:u w:val="none"/>
          <w:lang w:val="en-US" w:eastAsia="zh-CN"/>
        </w:rPr>
        <w:t>十一、竞买保证金退还或转付成交价款</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仿宋" w:cs="Times New Roman"/>
          <w:b w:val="0"/>
          <w:bCs w:val="0"/>
          <w:color w:val="auto"/>
          <w:sz w:val="32"/>
          <w:szCs w:val="32"/>
          <w:u w:val="none"/>
        </w:rPr>
        <w:t>签订交易合同，竞得人</w:t>
      </w:r>
      <w:r>
        <w:rPr>
          <w:rFonts w:hint="default" w:ascii="Times New Roman" w:hAnsi="Times New Roman" w:eastAsia="仿宋" w:cs="Times New Roman"/>
          <w:b w:val="0"/>
          <w:bCs w:val="0"/>
          <w:color w:val="auto"/>
          <w:sz w:val="32"/>
          <w:szCs w:val="32"/>
          <w:u w:val="none"/>
          <w:shd w:val="clear" w:color="auto" w:fill="auto"/>
          <w:lang w:eastAsia="zh-CN"/>
        </w:rPr>
        <w:t>交</w:t>
      </w:r>
      <w:r>
        <w:rPr>
          <w:rFonts w:hint="default" w:ascii="Times New Roman" w:hAnsi="Times New Roman" w:eastAsia="仿宋" w:cs="Times New Roman"/>
          <w:b w:val="0"/>
          <w:bCs w:val="0"/>
          <w:color w:val="auto"/>
          <w:sz w:val="32"/>
          <w:szCs w:val="32"/>
          <w:u w:val="none"/>
          <w:shd w:val="clear" w:color="auto" w:fill="auto"/>
        </w:rPr>
        <w:t>纳</w:t>
      </w:r>
      <w:r>
        <w:rPr>
          <w:rFonts w:hint="default" w:ascii="Times New Roman" w:hAnsi="Times New Roman" w:eastAsia="仿宋" w:cs="Times New Roman"/>
          <w:b w:val="0"/>
          <w:bCs w:val="0"/>
          <w:color w:val="auto"/>
          <w:sz w:val="32"/>
          <w:szCs w:val="32"/>
          <w:u w:val="none"/>
        </w:rPr>
        <w:t>的竞买保证金按成交价的</w:t>
      </w:r>
      <w:r>
        <w:rPr>
          <w:rFonts w:hint="default" w:ascii="Times New Roman" w:hAnsi="Times New Roman" w:eastAsia="仿宋" w:cs="Times New Roman"/>
          <w:b w:val="0"/>
          <w:bCs w:val="0"/>
          <w:color w:val="auto"/>
          <w:sz w:val="32"/>
          <w:szCs w:val="32"/>
          <w:u w:val="none"/>
          <w:lang w:val="en-US" w:eastAsia="zh-CN"/>
        </w:rPr>
        <w:t xml:space="preserve">10 </w:t>
      </w:r>
      <w:r>
        <w:rPr>
          <w:rFonts w:hint="default" w:ascii="Times New Roman" w:hAnsi="Times New Roman" w:eastAsia="仿宋" w:cs="Times New Roman"/>
          <w:b w:val="0"/>
          <w:bCs w:val="0"/>
          <w:color w:val="auto"/>
          <w:sz w:val="32"/>
          <w:szCs w:val="32"/>
          <w:u w:val="none"/>
        </w:rPr>
        <w:t>%转作受让宗地的定金。如竞买保证金不足以</w:t>
      </w:r>
      <w:r>
        <w:rPr>
          <w:rFonts w:hint="default" w:ascii="Times New Roman" w:hAnsi="Times New Roman" w:eastAsia="仿宋" w:cs="Times New Roman"/>
          <w:b w:val="0"/>
          <w:bCs w:val="0"/>
          <w:color w:val="auto"/>
          <w:sz w:val="32"/>
          <w:szCs w:val="32"/>
          <w:u w:val="none"/>
          <w:lang w:eastAsia="zh-CN"/>
        </w:rPr>
        <w:t>交</w:t>
      </w:r>
      <w:r>
        <w:rPr>
          <w:rFonts w:hint="default" w:ascii="Times New Roman" w:hAnsi="Times New Roman" w:eastAsia="仿宋" w:cs="Times New Roman"/>
          <w:b w:val="0"/>
          <w:bCs w:val="0"/>
          <w:color w:val="auto"/>
          <w:sz w:val="32"/>
          <w:szCs w:val="32"/>
          <w:u w:val="none"/>
        </w:rPr>
        <w:t>纳定金，不足部分在交易系统确定成交之日起5个工作日内补齐；</w:t>
      </w:r>
      <w:r>
        <w:rPr>
          <w:rFonts w:hint="default" w:ascii="Times New Roman" w:hAnsi="Times New Roman" w:eastAsia="仿宋" w:cs="Times New Roman"/>
          <w:b w:val="0"/>
          <w:bCs w:val="0"/>
          <w:color w:val="auto"/>
          <w:sz w:val="32"/>
          <w:szCs w:val="32"/>
          <w:highlight w:val="none"/>
          <w:u w:val="none"/>
        </w:rPr>
        <w:t>如竞买保证金转作定金后有剩余，余额转作宗地成交价款，定金可抵作宗地成交价款。</w:t>
      </w:r>
    </w:p>
    <w:p>
      <w:pPr>
        <w:pStyle w:val="3"/>
        <w:keepNext w:val="0"/>
        <w:keepLines w:val="0"/>
        <w:pageBreakBefore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仿宋" w:cs="Times New Roman"/>
          <w:b w:val="0"/>
          <w:bCs w:val="0"/>
          <w:color w:val="auto"/>
          <w:sz w:val="32"/>
          <w:szCs w:val="32"/>
          <w:highlight w:val="none"/>
          <w:u w:val="none"/>
        </w:rPr>
        <w:t>以外币缴交竞买保证金的，按成交价的10%部分转为定金，待签订《国有建设用地使用权出让合同》、按时缴清土地成交价款后，再将定金</w:t>
      </w:r>
      <w:r>
        <w:rPr>
          <w:rFonts w:hint="default" w:ascii="Times New Roman" w:hAnsi="Times New Roman" w:eastAsia="仿宋" w:cs="Times New Roman"/>
          <w:b w:val="0"/>
          <w:bCs w:val="0"/>
          <w:color w:val="auto"/>
          <w:sz w:val="32"/>
          <w:szCs w:val="32"/>
          <w:highlight w:val="none"/>
          <w:u w:val="none"/>
          <w:lang w:eastAsia="zh-CN"/>
        </w:rPr>
        <w:t>和剩余</w:t>
      </w:r>
      <w:r>
        <w:rPr>
          <w:rFonts w:hint="default" w:ascii="Times New Roman" w:hAnsi="Times New Roman" w:eastAsia="仿宋" w:cs="Times New Roman"/>
          <w:b w:val="0"/>
          <w:bCs w:val="0"/>
          <w:color w:val="auto"/>
          <w:sz w:val="32"/>
          <w:szCs w:val="32"/>
          <w:highlight w:val="none"/>
          <w:u w:val="none"/>
        </w:rPr>
        <w:t>保证金一并退还，不计利息。</w:t>
      </w:r>
    </w:p>
    <w:p>
      <w:pPr>
        <w:pStyle w:val="3"/>
        <w:keepNext w:val="0"/>
        <w:keepLines w:val="0"/>
        <w:pageBreakBefore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highlight w:val="none"/>
          <w:u w:val="none"/>
        </w:rPr>
        <w:t>未竞得人交纳的竞买保证金于电子挂牌交易活动结束</w:t>
      </w:r>
      <w:r>
        <w:rPr>
          <w:rFonts w:hint="default" w:ascii="Times New Roman" w:hAnsi="Times New Roman" w:eastAsia="仿宋" w:cs="Times New Roman"/>
          <w:b w:val="0"/>
          <w:bCs w:val="0"/>
          <w:color w:val="auto"/>
          <w:sz w:val="32"/>
          <w:szCs w:val="32"/>
          <w:u w:val="none"/>
        </w:rPr>
        <w:t>之日起5个工作日内原路退还，不计利息。</w:t>
      </w:r>
    </w:p>
    <w:p>
      <w:pPr>
        <w:pStyle w:val="3"/>
        <w:keepNext w:val="0"/>
        <w:keepLines w:val="0"/>
        <w:pageBreakBefore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竞得人交纳的竞买保证金转付成交价款，竞得人应带齐如下相关资料到交易中心办理转付成交价款手续：</w:t>
      </w:r>
    </w:p>
    <w:p>
      <w:pPr>
        <w:pStyle w:val="3"/>
        <w:keepNext w:val="0"/>
        <w:keepLines w:val="0"/>
        <w:pageBreakBefore w:val="0"/>
        <w:numPr>
          <w:ilvl w:val="0"/>
          <w:numId w:val="3"/>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我局开具的成交价款缴款单；</w:t>
      </w:r>
    </w:p>
    <w:p>
      <w:pPr>
        <w:pStyle w:val="3"/>
        <w:keepNext w:val="0"/>
        <w:keepLines w:val="0"/>
        <w:pageBreakBefore w:val="0"/>
        <w:numPr>
          <w:ilvl w:val="0"/>
          <w:numId w:val="3"/>
        </w:numPr>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银行端查询缴税凭证；</w:t>
      </w:r>
    </w:p>
    <w:p>
      <w:pPr>
        <w:pStyle w:val="3"/>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lang w:eastAsia="zh-CN"/>
        </w:rPr>
        <w:t>（</w:t>
      </w:r>
      <w:r>
        <w:rPr>
          <w:rFonts w:hint="default" w:ascii="Times New Roman" w:hAnsi="Times New Roman" w:eastAsia="仿宋" w:cs="Times New Roman"/>
          <w:b w:val="0"/>
          <w:bCs w:val="0"/>
          <w:color w:val="auto"/>
          <w:sz w:val="32"/>
          <w:szCs w:val="32"/>
          <w:u w:val="none"/>
          <w:lang w:val="en-US" w:eastAsia="zh-CN"/>
        </w:rPr>
        <w:t>三</w:t>
      </w:r>
      <w:r>
        <w:rPr>
          <w:rFonts w:hint="default" w:ascii="Times New Roman" w:hAnsi="Times New Roman" w:eastAsia="仿宋" w:cs="Times New Roman"/>
          <w:b w:val="0"/>
          <w:bCs w:val="0"/>
          <w:color w:val="auto"/>
          <w:sz w:val="32"/>
          <w:szCs w:val="32"/>
          <w:u w:val="none"/>
          <w:lang w:eastAsia="zh-CN"/>
        </w:rPr>
        <w:t>）</w:t>
      </w:r>
      <w:r>
        <w:rPr>
          <w:rFonts w:hint="default" w:ascii="Times New Roman" w:hAnsi="Times New Roman" w:eastAsia="仿宋" w:cs="Times New Roman"/>
          <w:b w:val="0"/>
          <w:bCs w:val="0"/>
          <w:color w:val="auto"/>
          <w:sz w:val="32"/>
          <w:szCs w:val="32"/>
          <w:u w:val="none"/>
        </w:rPr>
        <w:t>惠州市非税收入缴款通知</w:t>
      </w:r>
      <w:r>
        <w:rPr>
          <w:rFonts w:hint="default" w:ascii="Times New Roman" w:hAnsi="Times New Roman" w:eastAsia="仿宋" w:cs="Times New Roman"/>
          <w:b w:val="0"/>
          <w:bCs w:val="0"/>
          <w:color w:val="auto"/>
          <w:sz w:val="32"/>
          <w:szCs w:val="32"/>
          <w:u w:val="none"/>
          <w:lang w:eastAsia="zh-CN"/>
        </w:rPr>
        <w:t>；</w:t>
      </w:r>
    </w:p>
    <w:p>
      <w:pPr>
        <w:pStyle w:val="3"/>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lang w:eastAsia="zh-CN"/>
        </w:rPr>
        <w:t>（</w:t>
      </w:r>
      <w:r>
        <w:rPr>
          <w:rFonts w:hint="default" w:ascii="Times New Roman" w:hAnsi="Times New Roman" w:eastAsia="仿宋" w:cs="Times New Roman"/>
          <w:b w:val="0"/>
          <w:bCs w:val="0"/>
          <w:color w:val="auto"/>
          <w:sz w:val="32"/>
          <w:szCs w:val="32"/>
          <w:u w:val="none"/>
          <w:lang w:val="en-US" w:eastAsia="zh-CN"/>
        </w:rPr>
        <w:t>四</w:t>
      </w:r>
      <w:r>
        <w:rPr>
          <w:rFonts w:hint="default" w:ascii="Times New Roman" w:hAnsi="Times New Roman" w:eastAsia="仿宋" w:cs="Times New Roman"/>
          <w:b w:val="0"/>
          <w:bCs w:val="0"/>
          <w:color w:val="auto"/>
          <w:sz w:val="32"/>
          <w:szCs w:val="32"/>
          <w:u w:val="none"/>
          <w:lang w:eastAsia="zh-CN"/>
        </w:rPr>
        <w:t>）</w:t>
      </w:r>
      <w:r>
        <w:rPr>
          <w:rFonts w:hint="default" w:ascii="Times New Roman" w:hAnsi="Times New Roman" w:eastAsia="仿宋" w:cs="Times New Roman"/>
          <w:b w:val="0"/>
          <w:bCs w:val="0"/>
          <w:color w:val="auto"/>
          <w:sz w:val="32"/>
          <w:szCs w:val="32"/>
          <w:u w:val="none"/>
        </w:rPr>
        <w:t>保证金到账通知书；</w:t>
      </w:r>
    </w:p>
    <w:p>
      <w:pPr>
        <w:pStyle w:val="3"/>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lang w:eastAsia="zh-CN"/>
        </w:rPr>
        <w:t>（</w:t>
      </w:r>
      <w:r>
        <w:rPr>
          <w:rFonts w:hint="default" w:ascii="Times New Roman" w:hAnsi="Times New Roman" w:eastAsia="仿宋" w:cs="Times New Roman"/>
          <w:b w:val="0"/>
          <w:bCs w:val="0"/>
          <w:color w:val="auto"/>
          <w:sz w:val="32"/>
          <w:szCs w:val="32"/>
          <w:u w:val="none"/>
          <w:lang w:val="en-US" w:eastAsia="zh-CN"/>
        </w:rPr>
        <w:t>五</w:t>
      </w:r>
      <w:r>
        <w:rPr>
          <w:rFonts w:hint="default" w:ascii="Times New Roman" w:hAnsi="Times New Roman" w:eastAsia="仿宋" w:cs="Times New Roman"/>
          <w:b w:val="0"/>
          <w:bCs w:val="0"/>
          <w:color w:val="auto"/>
          <w:sz w:val="32"/>
          <w:szCs w:val="32"/>
          <w:u w:val="none"/>
          <w:lang w:eastAsia="zh-CN"/>
        </w:rPr>
        <w:t>）</w:t>
      </w:r>
      <w:r>
        <w:rPr>
          <w:rFonts w:hint="default" w:ascii="Times New Roman" w:hAnsi="Times New Roman" w:eastAsia="仿宋" w:cs="Times New Roman"/>
          <w:b w:val="0"/>
          <w:bCs w:val="0"/>
          <w:color w:val="auto"/>
          <w:sz w:val="32"/>
          <w:szCs w:val="32"/>
          <w:u w:val="none"/>
        </w:rPr>
        <w:t>竞价结果通知书；</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u w:val="none"/>
          <w:lang w:eastAsia="zh-CN"/>
        </w:rPr>
        <w:t>（</w:t>
      </w:r>
      <w:r>
        <w:rPr>
          <w:rFonts w:hint="default" w:ascii="Times New Roman" w:hAnsi="Times New Roman" w:eastAsia="仿宋" w:cs="Times New Roman"/>
          <w:b w:val="0"/>
          <w:bCs w:val="0"/>
          <w:color w:val="auto"/>
          <w:sz w:val="32"/>
          <w:szCs w:val="32"/>
          <w:u w:val="none"/>
          <w:lang w:val="en-US" w:eastAsia="zh-CN"/>
        </w:rPr>
        <w:t>六</w:t>
      </w:r>
      <w:r>
        <w:rPr>
          <w:rFonts w:hint="default" w:ascii="Times New Roman" w:hAnsi="Times New Roman" w:eastAsia="仿宋" w:cs="Times New Roman"/>
          <w:b w:val="0"/>
          <w:bCs w:val="0"/>
          <w:color w:val="auto"/>
          <w:sz w:val="32"/>
          <w:szCs w:val="32"/>
          <w:u w:val="none"/>
          <w:lang w:eastAsia="zh-CN"/>
        </w:rPr>
        <w:t>）</w:t>
      </w:r>
      <w:r>
        <w:rPr>
          <w:rFonts w:hint="default" w:ascii="Times New Roman" w:hAnsi="Times New Roman" w:eastAsia="仿宋" w:cs="Times New Roman"/>
          <w:b w:val="0"/>
          <w:bCs w:val="0"/>
          <w:color w:val="auto"/>
          <w:sz w:val="32"/>
          <w:szCs w:val="32"/>
          <w:u w:val="none"/>
        </w:rPr>
        <w:t>保证金转账凭证。</w:t>
      </w:r>
    </w:p>
    <w:p>
      <w:pPr>
        <w:pStyle w:val="3"/>
        <w:keepNext w:val="0"/>
        <w:keepLines w:val="0"/>
        <w:pageBreakBefore w:val="0"/>
        <w:kinsoku/>
        <w:wordWrap/>
        <w:overflowPunct/>
        <w:topLinePunct w:val="0"/>
        <w:autoSpaceDE/>
        <w:autoSpaceDN/>
        <w:bidi w:val="0"/>
        <w:adjustRightInd/>
        <w:snapToGrid/>
        <w:spacing w:line="240" w:lineRule="auto"/>
        <w:ind w:left="0" w:leftChars="0" w:firstLine="643" w:firstLineChars="200"/>
        <w:textAlignment w:val="auto"/>
        <w:rPr>
          <w:rFonts w:hint="default" w:ascii="Times New Roman" w:hAnsi="Times New Roman" w:eastAsia="仿宋" w:cs="Times New Roman"/>
          <w:b/>
          <w:bCs/>
          <w:color w:val="auto"/>
          <w:sz w:val="32"/>
          <w:szCs w:val="32"/>
          <w:u w:val="none"/>
        </w:rPr>
      </w:pPr>
      <w:r>
        <w:rPr>
          <w:rFonts w:hint="default" w:ascii="Times New Roman" w:hAnsi="Times New Roman" w:eastAsia="仿宋" w:cs="Times New Roman"/>
          <w:b/>
          <w:bCs/>
          <w:color w:val="auto"/>
          <w:sz w:val="32"/>
          <w:szCs w:val="32"/>
          <w:u w:val="none"/>
        </w:rPr>
        <w:t>十</w:t>
      </w:r>
      <w:r>
        <w:rPr>
          <w:rFonts w:hint="default" w:ascii="Times New Roman" w:hAnsi="Times New Roman" w:eastAsia="仿宋" w:cs="Times New Roman"/>
          <w:b/>
          <w:bCs/>
          <w:color w:val="auto"/>
          <w:sz w:val="32"/>
          <w:szCs w:val="32"/>
          <w:u w:val="none"/>
          <w:lang w:eastAsia="zh-CN"/>
        </w:rPr>
        <w:t>二</w:t>
      </w:r>
      <w:r>
        <w:rPr>
          <w:rFonts w:hint="default" w:ascii="Times New Roman" w:hAnsi="Times New Roman" w:eastAsia="仿宋" w:cs="Times New Roman"/>
          <w:b/>
          <w:bCs/>
          <w:color w:val="auto"/>
          <w:sz w:val="32"/>
          <w:szCs w:val="32"/>
          <w:u w:val="none"/>
        </w:rPr>
        <w:t>、成交价款支付方式及期限</w:t>
      </w:r>
    </w:p>
    <w:p>
      <w:pPr>
        <w:keepNext w:val="0"/>
        <w:keepLines w:val="0"/>
        <w:pageBreakBefore w:val="0"/>
        <w:widowControl w:val="0"/>
        <w:kinsoku/>
        <w:wordWrap/>
        <w:overflowPunct/>
        <w:topLinePunct w:val="0"/>
        <w:autoSpaceDE/>
        <w:autoSpaceDN/>
        <w:bidi w:val="0"/>
        <w:adjustRightInd/>
        <w:snapToGrid/>
        <w:spacing w:line="240" w:lineRule="auto"/>
        <w:ind w:firstLine="555"/>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竞得人签订《惠州市国有建设用地使用权网上挂牌交易成交确认书》（以下简称“《成交确认书》”）后10个工作日内</w:t>
      </w:r>
      <w:r>
        <w:rPr>
          <w:rFonts w:hint="default" w:ascii="Times New Roman" w:hAnsi="Times New Roman" w:eastAsia="仿宋" w:cs="Times New Roman"/>
          <w:i w:val="0"/>
          <w:caps w:val="0"/>
          <w:smallCaps w:val="0"/>
          <w:color w:val="auto"/>
          <w:spacing w:val="0"/>
          <w:sz w:val="32"/>
          <w:szCs w:val="32"/>
          <w:highlight w:val="none"/>
          <w:u w:val="none"/>
          <w:shd w:val="clear" w:color="auto" w:fill="FFFFFF"/>
        </w:rPr>
        <w:t>须与出让人签订</w:t>
      </w:r>
      <w:r>
        <w:rPr>
          <w:rFonts w:hint="default" w:ascii="Times New Roman" w:hAnsi="Times New Roman" w:eastAsia="仿宋" w:cs="Times New Roman"/>
          <w:color w:val="auto"/>
          <w:sz w:val="32"/>
          <w:szCs w:val="32"/>
          <w:highlight w:val="none"/>
          <w:u w:val="none"/>
          <w:lang w:val="en-US" w:eastAsia="zh-CN"/>
        </w:rPr>
        <w:t>《国有建设用地使用权出让合同》（以下简称“《出让合同》”），定金可抵作土地成交价款，逾期自动解除《成交确认书》，保证金不予返还。</w:t>
      </w:r>
      <w:r>
        <w:rPr>
          <w:rFonts w:hint="default" w:ascii="Times New Roman" w:hAnsi="Times New Roman" w:eastAsia="仿宋" w:cs="Times New Roman"/>
          <w:kern w:val="2"/>
          <w:sz w:val="32"/>
          <w:szCs w:val="32"/>
          <w:lang w:val="en-US" w:eastAsia="zh-CN"/>
        </w:rPr>
        <w:t>在签订《出让合同》之</w:t>
      </w:r>
      <w:r>
        <w:rPr>
          <w:rFonts w:hint="default" w:ascii="Times New Roman" w:hAnsi="Times New Roman" w:eastAsia="仿宋" w:cs="Times New Roman"/>
          <w:kern w:val="2"/>
          <w:sz w:val="32"/>
          <w:szCs w:val="32"/>
          <w:highlight w:val="none"/>
          <w:lang w:val="en-US" w:eastAsia="zh-CN"/>
        </w:rPr>
        <w:t>日起30日内缴交不低于土地出让总价款50%的土地出让价款（</w:t>
      </w:r>
      <w:r>
        <w:rPr>
          <w:rFonts w:hint="default" w:ascii="Times New Roman" w:hAnsi="Times New Roman" w:eastAsia="仿宋" w:cs="Times New Roman"/>
          <w:color w:val="auto"/>
          <w:sz w:val="32"/>
          <w:szCs w:val="32"/>
          <w:highlight w:val="none"/>
          <w:lang w:val="en-US" w:eastAsia="zh-CN" w:bidi="ar-SA"/>
        </w:rPr>
        <w:t>定金、剩余保证金可抵作土地成交价款</w:t>
      </w:r>
      <w:r>
        <w:rPr>
          <w:rFonts w:hint="default" w:ascii="Times New Roman" w:hAnsi="Times New Roman" w:eastAsia="仿宋" w:cs="Times New Roman"/>
          <w:color w:val="auto"/>
          <w:kern w:val="2"/>
          <w:sz w:val="32"/>
          <w:szCs w:val="32"/>
          <w:highlight w:val="none"/>
          <w:lang w:val="en-US" w:eastAsia="zh-CN"/>
        </w:rPr>
        <w:t>），剩余部分土地出让价款须在签订《国有建设用地使用权出让合同》之日起一年内缴清，且按照支付第一期土地出让价款当日中国人民银行公布的贷款利率，向出让人支付利息。</w:t>
      </w:r>
    </w:p>
    <w:p>
      <w:pPr>
        <w:keepNext w:val="0"/>
        <w:keepLines w:val="0"/>
        <w:pageBreakBefore w:val="0"/>
        <w:widowControl w:val="0"/>
        <w:kinsoku/>
        <w:wordWrap/>
        <w:overflowPunct/>
        <w:topLinePunct w:val="0"/>
        <w:autoSpaceDE/>
        <w:autoSpaceDN/>
        <w:bidi w:val="0"/>
        <w:adjustRightInd/>
        <w:snapToGrid/>
        <w:spacing w:line="240" w:lineRule="auto"/>
        <w:ind w:firstLine="555"/>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kern w:val="2"/>
          <w:sz w:val="32"/>
          <w:szCs w:val="32"/>
          <w:highlight w:val="none"/>
          <w:lang w:val="en-US" w:eastAsia="zh-CN"/>
        </w:rPr>
        <w:t>以外币缴交竞买保证金的，按成交价的10%部分转为定金，待签订《国有建设用地使用权出让合同》、按时缴清土地成交价款后，再将定金和剩余保证金一并退还，不计利息</w:t>
      </w:r>
      <w:r>
        <w:rPr>
          <w:rFonts w:hint="default" w:ascii="Times New Roman" w:hAnsi="Times New Roman" w:eastAsia="仿宋"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55"/>
        <w:jc w:val="both"/>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b/>
          <w:bCs/>
        </w:rPr>
      </w:pPr>
      <w:r>
        <w:rPr>
          <w:rFonts w:hint="default" w:ascii="Times New Roman" w:hAnsi="Times New Roman" w:eastAsia="仿宋" w:cs="Times New Roman"/>
          <w:b/>
          <w:bCs/>
          <w:color w:val="auto"/>
          <w:sz w:val="32"/>
          <w:szCs w:val="32"/>
          <w:highlight w:val="none"/>
        </w:rPr>
        <w:t>十</w:t>
      </w:r>
      <w:r>
        <w:rPr>
          <w:rFonts w:hint="default" w:ascii="Times New Roman" w:hAnsi="Times New Roman" w:eastAsia="仿宋" w:cs="Times New Roman"/>
          <w:b/>
          <w:bCs/>
          <w:color w:val="auto"/>
          <w:sz w:val="32"/>
          <w:szCs w:val="32"/>
          <w:highlight w:val="none"/>
          <w:lang w:eastAsia="zh-CN"/>
        </w:rPr>
        <w:t>三</w:t>
      </w:r>
      <w:r>
        <w:rPr>
          <w:rFonts w:hint="default" w:ascii="Times New Roman" w:hAnsi="Times New Roman" w:eastAsia="仿宋" w:cs="Times New Roman"/>
          <w:b/>
          <w:bCs/>
          <w:color w:val="auto"/>
          <w:sz w:val="32"/>
          <w:szCs w:val="32"/>
          <w:highlight w:val="none"/>
        </w:rPr>
        <w:t>、违规责任</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4"/>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不符合竞买资格条件的；</w:t>
      </w:r>
    </w:p>
    <w:p>
      <w:pPr>
        <w:keepNext w:val="0"/>
        <w:keepLines w:val="0"/>
        <w:pageBreakBefore w:val="0"/>
        <w:numPr>
          <w:ilvl w:val="0"/>
          <w:numId w:val="4"/>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提供虚假文件材料，隐瞒重要事实的；</w:t>
      </w:r>
    </w:p>
    <w:p>
      <w:pPr>
        <w:keepNext w:val="0"/>
        <w:keepLines w:val="0"/>
        <w:pageBreakBefore w:val="0"/>
        <w:numPr>
          <w:ilvl w:val="0"/>
          <w:numId w:val="4"/>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采取行贿、恶意串通等非法手段竞得的；</w:t>
      </w:r>
    </w:p>
    <w:p>
      <w:pPr>
        <w:keepNext w:val="0"/>
        <w:keepLines w:val="0"/>
        <w:pageBreakBefore w:val="0"/>
        <w:numPr>
          <w:ilvl w:val="0"/>
          <w:numId w:val="4"/>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无正当理由逾期或拒绝签订成交确认书的；</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u w:val="none"/>
          <w:lang w:eastAsia="zh-CN"/>
        </w:rPr>
        <w:t>（五）</w:t>
      </w:r>
      <w:r>
        <w:rPr>
          <w:rFonts w:hint="default" w:ascii="Times New Roman" w:hAnsi="Times New Roman" w:eastAsia="仿宋" w:cs="Times New Roman"/>
          <w:b w:val="0"/>
          <w:bCs w:val="0"/>
          <w:color w:val="auto"/>
          <w:sz w:val="32"/>
          <w:szCs w:val="32"/>
          <w:u w:val="none"/>
        </w:rPr>
        <w:t>无正当理由逾期或拒绝签订交易合同的</w:t>
      </w:r>
      <w:r>
        <w:rPr>
          <w:rFonts w:hint="default" w:ascii="Times New Roman" w:hAnsi="Times New Roman" w:eastAsia="仿宋" w:cs="Times New Roman"/>
          <w:b w:val="0"/>
          <w:bCs w:val="0"/>
          <w:color w:val="auto"/>
          <w:sz w:val="32"/>
          <w:szCs w:val="32"/>
          <w:u w:val="none"/>
          <w:lang w:eastAsia="zh-CN"/>
        </w:rPr>
        <w:t>。</w:t>
      </w:r>
    </w:p>
    <w:p>
      <w:pPr>
        <w:pStyle w:val="3"/>
        <w:keepNext w:val="0"/>
        <w:keepLines w:val="0"/>
        <w:pageBreakBefore w:val="0"/>
        <w:kinsoku/>
        <w:wordWrap/>
        <w:overflowPunct/>
        <w:topLinePunct w:val="0"/>
        <w:autoSpaceDE/>
        <w:autoSpaceDN/>
        <w:bidi w:val="0"/>
        <w:adjustRightInd/>
        <w:snapToGrid/>
        <w:spacing w:line="240" w:lineRule="auto"/>
        <w:ind w:left="0" w:leftChars="0" w:firstLine="643" w:firstLineChars="20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bCs/>
          <w:color w:val="auto"/>
          <w:sz w:val="32"/>
          <w:szCs w:val="32"/>
          <w:highlight w:val="none"/>
        </w:rPr>
        <w:t>十</w:t>
      </w:r>
      <w:r>
        <w:rPr>
          <w:rFonts w:hint="default" w:ascii="Times New Roman" w:hAnsi="Times New Roman" w:eastAsia="仿宋" w:cs="Times New Roman"/>
          <w:b/>
          <w:bCs/>
          <w:color w:val="auto"/>
          <w:sz w:val="32"/>
          <w:szCs w:val="32"/>
          <w:highlight w:val="none"/>
          <w:lang w:eastAsia="zh-CN"/>
        </w:rPr>
        <w:t>四</w:t>
      </w:r>
      <w:r>
        <w:rPr>
          <w:rFonts w:hint="default" w:ascii="Times New Roman" w:hAnsi="Times New Roman" w:eastAsia="仿宋" w:cs="Times New Roman"/>
          <w:b/>
          <w:bCs/>
          <w:color w:val="auto"/>
          <w:sz w:val="32"/>
          <w:szCs w:val="32"/>
          <w:highlight w:val="none"/>
        </w:rPr>
        <w:t>、其他需要公告的事项</w:t>
      </w:r>
    </w:p>
    <w:p>
      <w:pPr>
        <w:keepNext w:val="0"/>
        <w:keepLines w:val="0"/>
        <w:pageBreakBefore w:val="0"/>
        <w:kinsoku/>
        <w:wordWrap/>
        <w:overflowPunct/>
        <w:topLinePunct w:val="0"/>
        <w:autoSpaceDE/>
        <w:autoSpaceDN/>
        <w:bidi w:val="0"/>
        <w:adjustRightInd/>
        <w:snapToGrid/>
        <w:spacing w:line="240" w:lineRule="auto"/>
        <w:ind w:firstLine="555"/>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（一）本宗地网上挂牌出让的详细资料和具体要求，见交易中心网上挂牌交易系统（https://www.hzgtjy.com/）。申请人可在网上挂牌交易系统下载挂牌出让公告、须知及相关交易文件。</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（二）有意竞买者可以自行到地块现场踏勘（可在网上挂牌交易系统查阅位置图和现状图）。</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（三）竞买申请一经受理确认后，即视为竞买人对网上挂牌出让公告、须知、相关交易文件及地块现状无异议并全部接受，并对有关承诺承担法律责任。</w:t>
      </w:r>
    </w:p>
    <w:p>
      <w:pPr>
        <w:pStyle w:val="3"/>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（四）地块动工竣工时间及地块交付时间</w:t>
      </w:r>
    </w:p>
    <w:p>
      <w:pPr>
        <w:pStyle w:val="3"/>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1、地块动工时间为地块交付之日起一年内，竣工时间为动工之日起三年内（因不可抗拒因素除外）；</w:t>
      </w:r>
    </w:p>
    <w:p>
      <w:pPr>
        <w:pStyle w:val="3"/>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u w:val="none"/>
        </w:rPr>
        <w:t>2、竞得人在</w:t>
      </w:r>
      <w:r>
        <w:rPr>
          <w:rFonts w:hint="default" w:ascii="Times New Roman" w:hAnsi="Times New Roman" w:eastAsia="仿宋" w:cs="Times New Roman"/>
          <w:b w:val="0"/>
          <w:bCs w:val="0"/>
          <w:color w:val="auto"/>
          <w:sz w:val="32"/>
          <w:szCs w:val="32"/>
          <w:u w:val="none"/>
          <w:lang w:eastAsia="zh-CN"/>
        </w:rPr>
        <w:t>缴清</w:t>
      </w:r>
      <w:r>
        <w:rPr>
          <w:rFonts w:hint="default" w:ascii="Times New Roman" w:hAnsi="Times New Roman" w:eastAsia="仿宋" w:cs="Times New Roman"/>
          <w:b w:val="0"/>
          <w:bCs w:val="0"/>
          <w:color w:val="auto"/>
          <w:sz w:val="32"/>
          <w:szCs w:val="32"/>
          <w:u w:val="none"/>
        </w:rPr>
        <w:t>地价款后一个月内办理交地手续，凭《交地确认书》、《出让合同》（正本）和地价款交款凭证等申请办理土地初始登记，领取《不动产权证书》</w:t>
      </w:r>
      <w:r>
        <w:rPr>
          <w:rFonts w:hint="default" w:ascii="Times New Roman" w:hAnsi="Times New Roman" w:eastAsia="仿宋" w:cs="Times New Roman"/>
          <w:b w:val="0"/>
          <w:bCs w:val="0"/>
          <w:color w:val="auto"/>
          <w:sz w:val="32"/>
          <w:szCs w:val="32"/>
          <w:highlight w:val="none"/>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highlight w:val="none"/>
          <w:lang w:val="en-US" w:eastAsia="zh-CN"/>
        </w:rPr>
        <w:t>（五）</w:t>
      </w:r>
      <w:r>
        <w:rPr>
          <w:rFonts w:hint="default" w:ascii="Times New Roman" w:hAnsi="Times New Roman" w:eastAsia="仿宋" w:cs="Times New Roman"/>
          <w:b w:val="0"/>
          <w:bCs w:val="0"/>
          <w:color w:val="auto"/>
          <w:sz w:val="32"/>
          <w:szCs w:val="32"/>
          <w:u w:val="none"/>
        </w:rPr>
        <w:t>土地开发及使用规定</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u w:val="none"/>
        </w:rPr>
        <w:t>1、开发投资总额不少于</w:t>
      </w:r>
      <w:r>
        <w:rPr>
          <w:rFonts w:hint="default" w:ascii="Times New Roman" w:hAnsi="Times New Roman" w:eastAsia="仿宋" w:cs="Times New Roman"/>
          <w:color w:val="auto"/>
          <w:kern w:val="2"/>
          <w:sz w:val="32"/>
          <w:szCs w:val="32"/>
          <w:highlight w:val="none"/>
          <w:u w:val="none"/>
          <w:lang w:val="en-US" w:eastAsia="zh-CN"/>
        </w:rPr>
        <w:t>83800</w:t>
      </w:r>
      <w:r>
        <w:rPr>
          <w:rFonts w:hint="default" w:ascii="Times New Roman" w:hAnsi="Times New Roman" w:eastAsia="仿宋" w:cs="Times New Roman"/>
          <w:b w:val="0"/>
          <w:bCs w:val="0"/>
          <w:color w:val="auto"/>
          <w:sz w:val="32"/>
          <w:szCs w:val="32"/>
          <w:u w:val="none"/>
        </w:rPr>
        <w:t>万元</w:t>
      </w:r>
      <w:r>
        <w:rPr>
          <w:rFonts w:hint="default" w:ascii="Times New Roman" w:hAnsi="Times New Roman" w:eastAsia="仿宋" w:cs="Times New Roman"/>
          <w:b w:val="0"/>
          <w:bCs w:val="0"/>
          <w:color w:val="auto"/>
          <w:sz w:val="32"/>
          <w:szCs w:val="32"/>
          <w:highlight w:val="none"/>
          <w:u w:val="none"/>
          <w:lang w:eastAsia="zh-CN"/>
        </w:rPr>
        <w:t>（含地价，不含地价溢价部分）</w:t>
      </w:r>
      <w:r>
        <w:rPr>
          <w:rFonts w:hint="default" w:ascii="Times New Roman" w:hAnsi="Times New Roman" w:eastAsia="仿宋" w:cs="Times New Roman"/>
          <w:b w:val="0"/>
          <w:bCs w:val="0"/>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240" w:lineRule="auto"/>
        <w:ind w:firstLine="627" w:firstLineChars="196"/>
        <w:textAlignment w:val="auto"/>
        <w:rPr>
          <w:rFonts w:hint="default" w:ascii="Times New Roman" w:hAnsi="Times New Roman" w:eastAsia="仿宋" w:cs="Times New Roman"/>
          <w:b w:val="0"/>
          <w:bCs w:val="0"/>
          <w:color w:val="auto"/>
          <w:sz w:val="32"/>
          <w:szCs w:val="32"/>
          <w:u w:val="none"/>
          <w:lang w:eastAsia="zh-CN"/>
        </w:rPr>
      </w:pPr>
      <w:r>
        <w:rPr>
          <w:rFonts w:hint="default" w:ascii="Times New Roman" w:hAnsi="Times New Roman" w:eastAsia="仿宋" w:cs="Times New Roman"/>
          <w:b w:val="0"/>
          <w:bCs w:val="0"/>
          <w:color w:val="auto"/>
          <w:sz w:val="32"/>
          <w:szCs w:val="32"/>
          <w:u w:val="none"/>
        </w:rPr>
        <w:t>2、</w:t>
      </w:r>
      <w:r>
        <w:rPr>
          <w:rFonts w:hint="default" w:ascii="Times New Roman" w:hAnsi="Times New Roman" w:eastAsia="仿宋" w:cs="Times New Roman"/>
          <w:b w:val="0"/>
          <w:bCs w:val="0"/>
          <w:color w:val="auto"/>
          <w:spacing w:val="-6"/>
          <w:sz w:val="32"/>
          <w:szCs w:val="32"/>
          <w:u w:val="none"/>
        </w:rPr>
        <w:t>竞得人在用地红线内开发建设必须符合城市规划要求，必须按《规划设计条件告知书》（案卷编号：</w:t>
      </w:r>
      <w:r>
        <w:rPr>
          <w:rFonts w:hint="default" w:ascii="Times New Roman" w:hAnsi="Times New Roman" w:eastAsia="仿宋" w:cs="Times New Roman"/>
          <w:color w:val="auto"/>
          <w:spacing w:val="-6"/>
          <w:sz w:val="32"/>
          <w:szCs w:val="32"/>
          <w:u w:val="none"/>
          <w:lang w:val="en-US" w:eastAsia="zh-CN"/>
        </w:rPr>
        <w:t>HZTJ20220006</w:t>
      </w:r>
      <w:r>
        <w:rPr>
          <w:rFonts w:hint="default" w:ascii="Times New Roman" w:hAnsi="Times New Roman" w:eastAsia="仿宋" w:cs="Times New Roman"/>
          <w:b w:val="0"/>
          <w:bCs w:val="0"/>
          <w:color w:val="auto"/>
          <w:spacing w:val="-6"/>
          <w:sz w:val="32"/>
          <w:szCs w:val="32"/>
          <w:u w:val="none"/>
        </w:rPr>
        <w:t>）规划控制指标要求及有关规定进行规划设计</w:t>
      </w:r>
      <w:r>
        <w:rPr>
          <w:rFonts w:hint="default" w:ascii="Times New Roman" w:hAnsi="Times New Roman" w:eastAsia="仿宋" w:cs="Times New Roman"/>
          <w:b w:val="0"/>
          <w:bCs w:val="0"/>
          <w:color w:val="auto"/>
          <w:spacing w:val="-6"/>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27" w:firstLineChars="196"/>
        <w:jc w:val="both"/>
        <w:textAlignment w:val="auto"/>
        <w:rPr>
          <w:rFonts w:hint="default" w:ascii="Times New Roman" w:hAnsi="Times New Roman" w:eastAsia="仿宋" w:cs="Times New Roman"/>
          <w:b w:val="0"/>
          <w:bCs w:val="0"/>
          <w:color w:val="auto"/>
          <w:sz w:val="32"/>
          <w:szCs w:val="32"/>
          <w:u w:val="none"/>
          <w:lang w:val="en-US" w:eastAsia="zh-CN"/>
        </w:rPr>
      </w:pPr>
      <w:r>
        <w:rPr>
          <w:rFonts w:hint="default" w:ascii="Times New Roman" w:hAnsi="Times New Roman" w:eastAsia="仿宋" w:cs="Times New Roman"/>
          <w:b w:val="0"/>
          <w:bCs w:val="0"/>
          <w:color w:val="auto"/>
          <w:sz w:val="32"/>
          <w:szCs w:val="32"/>
          <w:u w:val="none"/>
          <w:lang w:val="en-US" w:eastAsia="zh-CN"/>
        </w:rPr>
        <w:t>3、竞得人需按</w:t>
      </w:r>
      <w:r>
        <w:rPr>
          <w:rFonts w:hint="default" w:ascii="Times New Roman" w:hAnsi="Times New Roman" w:eastAsia="仿宋" w:cs="Times New Roman"/>
          <w:color w:val="auto"/>
          <w:sz w:val="32"/>
          <w:szCs w:val="32"/>
          <w:u w:val="none"/>
          <w:lang w:val="en-US" w:eastAsia="zh-CN"/>
        </w:rPr>
        <w:t>《规划设计条件告知书》（案卷编号：HZTJ20220006）</w:t>
      </w:r>
      <w:r>
        <w:rPr>
          <w:rFonts w:hint="default" w:ascii="Times New Roman" w:hAnsi="Times New Roman" w:eastAsia="仿宋" w:cs="Times New Roman"/>
          <w:b w:val="0"/>
          <w:bCs w:val="0"/>
          <w:color w:val="auto"/>
          <w:sz w:val="32"/>
          <w:szCs w:val="32"/>
          <w:u w:val="none"/>
          <w:lang w:val="en-US" w:eastAsia="zh-CN"/>
        </w:rPr>
        <w:t>要求配建相关配套设施；</w:t>
      </w:r>
    </w:p>
    <w:p>
      <w:pPr>
        <w:keepNext w:val="0"/>
        <w:keepLines w:val="0"/>
        <w:pageBreakBefore w:val="0"/>
        <w:widowControl w:val="0"/>
        <w:kinsoku/>
        <w:wordWrap/>
        <w:overflowPunct/>
        <w:topLinePunct w:val="0"/>
        <w:autoSpaceDE/>
        <w:autoSpaceDN/>
        <w:bidi w:val="0"/>
        <w:adjustRightInd/>
        <w:snapToGrid/>
        <w:spacing w:line="240" w:lineRule="auto"/>
        <w:ind w:firstLine="627" w:firstLineChars="196"/>
        <w:jc w:val="both"/>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u w:val="none"/>
          <w:lang w:val="en-US" w:eastAsia="zh-CN"/>
        </w:rPr>
        <w:t>4、</w:t>
      </w:r>
      <w:r>
        <w:rPr>
          <w:rFonts w:hint="default" w:ascii="Times New Roman" w:hAnsi="Times New Roman" w:eastAsia="仿宋" w:cs="Times New Roman"/>
          <w:b w:val="0"/>
          <w:bCs w:val="0"/>
          <w:color w:val="auto"/>
          <w:sz w:val="32"/>
          <w:szCs w:val="32"/>
          <w:u w:val="none"/>
        </w:rPr>
        <w:t>该地属政府储备地，没有法律经济纠纷，</w:t>
      </w:r>
      <w:r>
        <w:rPr>
          <w:rFonts w:hint="default" w:ascii="Times New Roman" w:hAnsi="Times New Roman" w:eastAsia="仿宋" w:cs="Times New Roman"/>
          <w:kern w:val="2"/>
          <w:sz w:val="32"/>
          <w:szCs w:val="32"/>
          <w:lang w:val="en-US" w:eastAsia="zh-CN"/>
        </w:rPr>
        <w:t>正在实施土地平整，</w:t>
      </w:r>
      <w:r>
        <w:rPr>
          <w:rFonts w:hint="default" w:ascii="Times New Roman" w:hAnsi="Times New Roman" w:eastAsia="仿宋" w:cs="Times New Roman"/>
          <w:b w:val="0"/>
          <w:bCs w:val="0"/>
          <w:color w:val="auto"/>
          <w:sz w:val="32"/>
          <w:szCs w:val="32"/>
          <w:highlight w:val="none"/>
          <w:u w:val="none"/>
        </w:rPr>
        <w:t>具备动工开发所必须的基本条件</w:t>
      </w:r>
      <w:r>
        <w:rPr>
          <w:rFonts w:hint="default" w:ascii="Times New Roman" w:hAnsi="Times New Roman" w:eastAsia="仿宋" w:cs="Times New Roman"/>
          <w:b w:val="0"/>
          <w:bCs w:val="0"/>
          <w:color w:val="auto"/>
          <w:sz w:val="32"/>
          <w:szCs w:val="32"/>
          <w:highlight w:val="none"/>
          <w:u w:val="none"/>
          <w:lang w:eastAsia="zh-CN"/>
        </w:rPr>
        <w:t>，地块内土堆由政府进行平整；</w:t>
      </w:r>
    </w:p>
    <w:p>
      <w:pPr>
        <w:keepNext w:val="0"/>
        <w:keepLines w:val="0"/>
        <w:pageBreakBefore w:val="0"/>
        <w:widowControl w:val="0"/>
        <w:kinsoku/>
        <w:wordWrap/>
        <w:overflowPunct/>
        <w:topLinePunct w:val="0"/>
        <w:autoSpaceDE/>
        <w:autoSpaceDN/>
        <w:bidi w:val="0"/>
        <w:adjustRightInd/>
        <w:snapToGrid/>
        <w:spacing w:line="240" w:lineRule="auto"/>
        <w:ind w:firstLine="627" w:firstLineChars="196"/>
        <w:jc w:val="both"/>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5、</w:t>
      </w:r>
      <w:r>
        <w:rPr>
          <w:rFonts w:hint="default" w:ascii="Times New Roman" w:hAnsi="Times New Roman" w:eastAsia="仿宋" w:cs="Times New Roman"/>
          <w:b w:val="0"/>
          <w:bCs w:val="0"/>
          <w:color w:val="auto"/>
          <w:sz w:val="32"/>
          <w:szCs w:val="32"/>
          <w:highlight w:val="none"/>
          <w:u w:val="none"/>
        </w:rPr>
        <w:t>该地块所建单套毛坯</w:t>
      </w:r>
      <w:r>
        <w:rPr>
          <w:rFonts w:hint="default" w:ascii="Times New Roman" w:hAnsi="Times New Roman" w:eastAsia="仿宋" w:cs="Times New Roman"/>
          <w:b w:val="0"/>
          <w:bCs w:val="0"/>
          <w:color w:val="auto"/>
          <w:sz w:val="32"/>
          <w:szCs w:val="32"/>
          <w:highlight w:val="none"/>
          <w:u w:val="none"/>
          <w:lang w:val="en-US" w:eastAsia="zh-CN"/>
        </w:rPr>
        <w:t>商品住宅</w:t>
      </w:r>
      <w:r>
        <w:rPr>
          <w:rFonts w:hint="default" w:ascii="Times New Roman" w:hAnsi="Times New Roman" w:eastAsia="仿宋" w:cs="Times New Roman"/>
          <w:b w:val="0"/>
          <w:bCs w:val="0"/>
          <w:color w:val="auto"/>
          <w:sz w:val="32"/>
          <w:szCs w:val="32"/>
          <w:highlight w:val="none"/>
          <w:u w:val="none"/>
        </w:rPr>
        <w:t>销售单价</w:t>
      </w:r>
      <w:r>
        <w:rPr>
          <w:rFonts w:hint="default" w:ascii="Times New Roman" w:hAnsi="Times New Roman" w:eastAsia="仿宋" w:cs="Times New Roman"/>
          <w:b w:val="0"/>
          <w:bCs w:val="0"/>
          <w:color w:val="auto"/>
          <w:sz w:val="32"/>
          <w:szCs w:val="32"/>
          <w:highlight w:val="none"/>
          <w:u w:val="none"/>
          <w:lang w:val="en-US" w:eastAsia="zh-CN"/>
        </w:rPr>
        <w:t>不高于15300</w:t>
      </w:r>
      <w:r>
        <w:rPr>
          <w:rFonts w:hint="default" w:ascii="Times New Roman" w:hAnsi="Times New Roman" w:eastAsia="仿宋" w:cs="Times New Roman"/>
          <w:b w:val="0"/>
          <w:bCs w:val="0"/>
          <w:color w:val="auto"/>
          <w:sz w:val="32"/>
          <w:szCs w:val="32"/>
          <w:highlight w:val="none"/>
          <w:u w:val="none"/>
        </w:rPr>
        <w:t>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b/>
          <w:bCs/>
          <w:color w:val="auto"/>
          <w:sz w:val="32"/>
          <w:szCs w:val="32"/>
          <w:highlight w:val="none"/>
          <w:u w:val="none"/>
        </w:rPr>
      </w:pPr>
      <w:r>
        <w:rPr>
          <w:rFonts w:hint="default" w:ascii="Times New Roman" w:hAnsi="Times New Roman" w:eastAsia="仿宋" w:cs="Times New Roman"/>
          <w:b/>
          <w:bCs/>
          <w:color w:val="auto"/>
          <w:sz w:val="32"/>
          <w:szCs w:val="32"/>
          <w:highlight w:val="none"/>
          <w:u w:val="none"/>
          <w:lang w:eastAsia="zh-CN"/>
        </w:rPr>
        <w:t>十五、</w:t>
      </w:r>
      <w:r>
        <w:rPr>
          <w:rFonts w:hint="default" w:ascii="Times New Roman" w:hAnsi="Times New Roman" w:eastAsia="仿宋" w:cs="Times New Roman"/>
          <w:b/>
          <w:bCs/>
          <w:color w:val="auto"/>
          <w:sz w:val="32"/>
          <w:szCs w:val="32"/>
          <w:highlight w:val="none"/>
          <w:u w:val="none"/>
        </w:rPr>
        <w:t>联系方式：</w:t>
      </w:r>
    </w:p>
    <w:p>
      <w:pPr>
        <w:keepNext w:val="0"/>
        <w:keepLines w:val="0"/>
        <w:pageBreakBefore w:val="0"/>
        <w:kinsoku/>
        <w:wordWrap/>
        <w:overflowPunct/>
        <w:topLinePunct w:val="0"/>
        <w:autoSpaceDE/>
        <w:autoSpaceDN/>
        <w:bidi w:val="0"/>
        <w:adjustRightInd/>
        <w:snapToGrid/>
        <w:spacing w:line="240" w:lineRule="auto"/>
        <w:ind w:right="640" w:firstLine="640" w:firstLineChars="200"/>
        <w:textAlignment w:val="auto"/>
        <w:rPr>
          <w:rFonts w:hint="default" w:ascii="Times New Roman" w:hAnsi="Times New Roman" w:eastAsia="仿宋" w:cs="Times New Roman"/>
          <w:b w:val="0"/>
          <w:bCs w:val="0"/>
          <w:color w:val="auto"/>
          <w:sz w:val="32"/>
          <w:szCs w:val="32"/>
          <w:u w:val="none"/>
          <w:lang w:val="en-US" w:eastAsia="zh-CN"/>
        </w:rPr>
      </w:pPr>
      <w:r>
        <w:rPr>
          <w:rFonts w:hint="default" w:ascii="Times New Roman" w:hAnsi="Times New Roman" w:eastAsia="仿宋" w:cs="Times New Roman"/>
          <w:b w:val="0"/>
          <w:bCs w:val="0"/>
          <w:color w:val="auto"/>
          <w:sz w:val="32"/>
          <w:szCs w:val="32"/>
          <w:u w:val="none"/>
        </w:rPr>
        <w:t>出让方：</w:t>
      </w:r>
      <w:r>
        <w:rPr>
          <w:rFonts w:hint="default" w:ascii="Times New Roman" w:hAnsi="Times New Roman" w:eastAsia="仿宋" w:cs="Times New Roman"/>
          <w:b w:val="0"/>
          <w:bCs w:val="0"/>
          <w:color w:val="auto"/>
          <w:sz w:val="32"/>
          <w:szCs w:val="32"/>
          <w:u w:val="none"/>
          <w:lang w:val="en-US" w:eastAsia="zh-CN"/>
        </w:rPr>
        <w:t>惠州市自然资源局</w:t>
      </w:r>
    </w:p>
    <w:p>
      <w:pPr>
        <w:keepNext w:val="0"/>
        <w:keepLines w:val="0"/>
        <w:pageBreakBefore w:val="0"/>
        <w:kinsoku/>
        <w:wordWrap/>
        <w:overflowPunct/>
        <w:topLinePunct w:val="0"/>
        <w:autoSpaceDE/>
        <w:autoSpaceDN/>
        <w:bidi w:val="0"/>
        <w:adjustRightInd/>
        <w:snapToGrid/>
        <w:spacing w:line="240" w:lineRule="auto"/>
        <w:ind w:right="640" w:firstLine="640" w:firstLineChars="200"/>
        <w:textAlignment w:val="auto"/>
        <w:rPr>
          <w:rFonts w:hint="default" w:ascii="Times New Roman" w:hAnsi="Times New Roman" w:eastAsia="仿宋" w:cs="Times New Roman"/>
          <w:b w:val="0"/>
          <w:bCs w:val="0"/>
          <w:color w:val="auto"/>
          <w:sz w:val="32"/>
          <w:szCs w:val="32"/>
          <w:u w:val="none"/>
          <w:lang w:val="en-US" w:eastAsia="zh-CN"/>
        </w:rPr>
      </w:pPr>
      <w:r>
        <w:rPr>
          <w:rFonts w:hint="default" w:ascii="Times New Roman" w:hAnsi="Times New Roman" w:eastAsia="仿宋" w:cs="Times New Roman"/>
          <w:b w:val="0"/>
          <w:bCs w:val="0"/>
          <w:color w:val="auto"/>
          <w:sz w:val="32"/>
          <w:szCs w:val="32"/>
          <w:u w:val="none"/>
        </w:rPr>
        <w:t>联系地址：广东省惠州市惠城区三新</w:t>
      </w:r>
      <w:r>
        <w:rPr>
          <w:rFonts w:hint="default" w:ascii="Times New Roman" w:hAnsi="Times New Roman" w:eastAsia="仿宋" w:cs="Times New Roman"/>
          <w:b w:val="0"/>
          <w:bCs w:val="0"/>
          <w:color w:val="auto"/>
          <w:sz w:val="32"/>
          <w:szCs w:val="32"/>
          <w:u w:val="none"/>
          <w:lang w:val="en-US" w:eastAsia="zh-CN"/>
        </w:rPr>
        <w:t>南路7号</w:t>
      </w:r>
    </w:p>
    <w:p>
      <w:pPr>
        <w:keepNext w:val="0"/>
        <w:keepLines w:val="0"/>
        <w:pageBreakBefore w:val="0"/>
        <w:kinsoku/>
        <w:wordWrap/>
        <w:overflowPunct/>
        <w:topLinePunct w:val="0"/>
        <w:autoSpaceDE/>
        <w:autoSpaceDN/>
        <w:bidi w:val="0"/>
        <w:adjustRightInd/>
        <w:snapToGrid/>
        <w:spacing w:line="240" w:lineRule="auto"/>
        <w:ind w:right="640" w:firstLine="640" w:firstLineChars="200"/>
        <w:textAlignment w:val="auto"/>
        <w:rPr>
          <w:rFonts w:hint="default" w:ascii="Times New Roman" w:hAnsi="Times New Roman" w:eastAsia="仿宋" w:cs="Times New Roman"/>
          <w:b w:val="0"/>
          <w:bCs w:val="0"/>
          <w:color w:val="auto"/>
          <w:sz w:val="32"/>
          <w:szCs w:val="32"/>
          <w:u w:val="none"/>
          <w:lang w:val="en-US" w:eastAsia="zh-CN"/>
        </w:rPr>
      </w:pPr>
      <w:r>
        <w:rPr>
          <w:rFonts w:hint="default" w:ascii="Times New Roman" w:hAnsi="Times New Roman" w:eastAsia="仿宋" w:cs="Times New Roman"/>
          <w:b w:val="0"/>
          <w:bCs w:val="0"/>
          <w:color w:val="auto"/>
          <w:sz w:val="32"/>
          <w:szCs w:val="32"/>
          <w:u w:val="none"/>
        </w:rPr>
        <w:t>联系人：</w:t>
      </w:r>
      <w:r>
        <w:rPr>
          <w:rFonts w:hint="default" w:ascii="Times New Roman" w:hAnsi="Times New Roman" w:eastAsia="仿宋" w:cs="Times New Roman"/>
          <w:b w:val="0"/>
          <w:bCs w:val="0"/>
          <w:color w:val="auto"/>
          <w:sz w:val="32"/>
          <w:szCs w:val="32"/>
          <w:u w:val="none"/>
          <w:lang w:val="en-US" w:eastAsia="zh-CN"/>
        </w:rPr>
        <w:t>赵工</w:t>
      </w:r>
    </w:p>
    <w:p>
      <w:pPr>
        <w:keepNext w:val="0"/>
        <w:keepLines w:val="0"/>
        <w:pageBreakBefore w:val="0"/>
        <w:kinsoku/>
        <w:wordWrap/>
        <w:overflowPunct/>
        <w:topLinePunct w:val="0"/>
        <w:autoSpaceDE/>
        <w:autoSpaceDN/>
        <w:bidi w:val="0"/>
        <w:adjustRightInd/>
        <w:snapToGrid/>
        <w:spacing w:line="240" w:lineRule="auto"/>
        <w:ind w:right="640" w:firstLine="640" w:firstLineChars="200"/>
        <w:textAlignment w:val="auto"/>
        <w:rPr>
          <w:rFonts w:hint="default" w:ascii="Times New Roman" w:hAnsi="Times New Roman" w:eastAsia="仿宋" w:cs="Times New Roman"/>
          <w:b w:val="0"/>
          <w:bCs w:val="0"/>
          <w:color w:val="auto"/>
          <w:sz w:val="32"/>
          <w:szCs w:val="32"/>
          <w:u w:val="none"/>
          <w:lang w:val="en-US" w:eastAsia="zh-CN"/>
        </w:rPr>
      </w:pPr>
      <w:r>
        <w:rPr>
          <w:rFonts w:hint="default" w:ascii="Times New Roman" w:hAnsi="Times New Roman" w:eastAsia="仿宋" w:cs="Times New Roman"/>
          <w:b w:val="0"/>
          <w:bCs w:val="0"/>
          <w:color w:val="auto"/>
          <w:sz w:val="32"/>
          <w:szCs w:val="32"/>
          <w:u w:val="none"/>
        </w:rPr>
        <w:t>联系电话：</w:t>
      </w:r>
      <w:r>
        <w:rPr>
          <w:rFonts w:hint="default" w:ascii="Times New Roman" w:hAnsi="Times New Roman" w:eastAsia="仿宋" w:cs="Times New Roman"/>
          <w:b w:val="0"/>
          <w:bCs w:val="0"/>
          <w:color w:val="auto"/>
          <w:sz w:val="32"/>
          <w:szCs w:val="32"/>
          <w:u w:val="none"/>
          <w:lang w:val="en-US" w:eastAsia="zh-CN"/>
        </w:rPr>
        <w:t>0752-2896313</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交易机构：惠州市公共资源交易中心</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联系地址：广东省惠州市惠城区三新北路31号市民服务中心3号楼</w:t>
      </w:r>
    </w:p>
    <w:p>
      <w:pPr>
        <w:keepNext w:val="0"/>
        <w:keepLines w:val="0"/>
        <w:pageBreakBefore w:val="0"/>
        <w:kinsoku/>
        <w:wordWrap/>
        <w:overflowPunct/>
        <w:topLinePunct w:val="0"/>
        <w:autoSpaceDE/>
        <w:autoSpaceDN/>
        <w:bidi w:val="0"/>
        <w:adjustRightInd/>
        <w:snapToGrid/>
        <w:spacing w:line="240" w:lineRule="auto"/>
        <w:ind w:right="640" w:firstLine="640" w:firstLineChars="200"/>
        <w:textAlignment w:val="auto"/>
        <w:rPr>
          <w:rFonts w:hint="default" w:ascii="Times New Roman" w:hAnsi="Times New Roman" w:eastAsia="仿宋" w:cs="Times New Roman"/>
          <w:b w:val="0"/>
          <w:bCs w:val="0"/>
          <w:color w:val="auto"/>
          <w:sz w:val="32"/>
          <w:szCs w:val="32"/>
          <w:u w:val="none"/>
          <w:lang w:val="en-US" w:eastAsia="zh-CN"/>
        </w:rPr>
      </w:pPr>
      <w:r>
        <w:rPr>
          <w:rFonts w:hint="default" w:ascii="Times New Roman" w:hAnsi="Times New Roman" w:eastAsia="仿宋" w:cs="Times New Roman"/>
          <w:b w:val="0"/>
          <w:bCs w:val="0"/>
          <w:color w:val="auto"/>
          <w:sz w:val="32"/>
          <w:szCs w:val="32"/>
          <w:u w:val="none"/>
        </w:rPr>
        <w:t>联系人</w:t>
      </w:r>
      <w:r>
        <w:rPr>
          <w:rFonts w:hint="default" w:ascii="Times New Roman" w:hAnsi="Times New Roman" w:eastAsia="仿宋" w:cs="Times New Roman"/>
          <w:b w:val="0"/>
          <w:bCs w:val="0"/>
          <w:color w:val="auto"/>
          <w:sz w:val="32"/>
          <w:szCs w:val="32"/>
          <w:u w:val="none"/>
          <w:lang w:eastAsia="zh-CN"/>
        </w:rPr>
        <w:t>：袁工、白工</w:t>
      </w:r>
    </w:p>
    <w:p>
      <w:pPr>
        <w:keepNext w:val="0"/>
        <w:keepLines w:val="0"/>
        <w:pageBreakBefore w:val="0"/>
        <w:kinsoku/>
        <w:wordWrap/>
        <w:overflowPunct/>
        <w:topLinePunct w:val="0"/>
        <w:autoSpaceDE/>
        <w:autoSpaceDN/>
        <w:bidi w:val="0"/>
        <w:adjustRightInd/>
        <w:snapToGrid/>
        <w:spacing w:line="240" w:lineRule="auto"/>
        <w:ind w:right="640" w:firstLine="640" w:firstLineChars="200"/>
        <w:textAlignment w:val="auto"/>
        <w:rPr>
          <w:rFonts w:hint="default" w:ascii="Times New Roman" w:hAnsi="Times New Roman" w:eastAsia="仿宋" w:cs="Times New Roman"/>
          <w:b w:val="0"/>
          <w:bCs w:val="0"/>
          <w:color w:val="auto"/>
          <w:sz w:val="32"/>
          <w:szCs w:val="32"/>
          <w:u w:val="none"/>
          <w:lang w:val="en-US" w:eastAsia="zh-CN"/>
        </w:rPr>
      </w:pPr>
      <w:r>
        <w:rPr>
          <w:rFonts w:hint="default" w:ascii="Times New Roman" w:hAnsi="Times New Roman" w:eastAsia="仿宋" w:cs="Times New Roman"/>
          <w:b w:val="0"/>
          <w:bCs w:val="0"/>
          <w:color w:val="auto"/>
          <w:sz w:val="32"/>
          <w:szCs w:val="32"/>
          <w:u w:val="none"/>
        </w:rPr>
        <w:t>联系电话：</w:t>
      </w:r>
      <w:r>
        <w:rPr>
          <w:rFonts w:hint="default" w:ascii="Times New Roman" w:hAnsi="Times New Roman" w:eastAsia="仿宋" w:cs="Times New Roman"/>
          <w:b w:val="0"/>
          <w:bCs w:val="0"/>
          <w:color w:val="auto"/>
          <w:sz w:val="32"/>
          <w:szCs w:val="32"/>
          <w:u w:val="none"/>
          <w:lang w:val="en-US" w:eastAsia="zh-CN"/>
        </w:rPr>
        <w:t>0752-7121026、0752-7121036</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注：本公告同时在下列网站及场所发布</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b w:val="0"/>
          <w:bCs w:val="0"/>
          <w:color w:val="auto"/>
          <w:sz w:val="32"/>
          <w:szCs w:val="32"/>
          <w:u w:val="none"/>
        </w:rPr>
        <w:t>中国土地市场网:</w:t>
      </w:r>
      <w:r>
        <w:rPr>
          <w:rFonts w:hint="default" w:ascii="Times New Roman" w:hAnsi="Times New Roman" w:eastAsia="仿宋" w:cs="Times New Roman"/>
          <w:color w:val="auto"/>
          <w:sz w:val="32"/>
          <w:szCs w:val="32"/>
          <w:highlight w:val="none"/>
          <w:u w:val="none"/>
        </w:rPr>
        <w:t xml:space="preserve"> http://www.landchina.com</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惠州市自然资源局网站：http://land.huizhou.gov.cn</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惠州市公共资源交易中心网：</w:t>
      </w:r>
      <w:r>
        <w:rPr>
          <w:rFonts w:hint="default" w:ascii="Times New Roman" w:hAnsi="Times New Roman" w:eastAsia="仿宋" w:cs="Times New Roman"/>
          <w:color w:val="auto"/>
          <w:sz w:val="32"/>
          <w:szCs w:val="32"/>
          <w:highlight w:val="none"/>
          <w:u w:val="none"/>
        </w:rPr>
        <w:fldChar w:fldCharType="begin"/>
      </w:r>
      <w:r>
        <w:rPr>
          <w:rFonts w:hint="default" w:ascii="Times New Roman" w:hAnsi="Times New Roman" w:eastAsia="仿宋" w:cs="Times New Roman"/>
          <w:color w:val="auto"/>
          <w:sz w:val="32"/>
          <w:szCs w:val="32"/>
          <w:highlight w:val="none"/>
          <w:u w:val="none"/>
        </w:rPr>
        <w:instrText xml:space="preserve"> HYPERLINK "http://zyjy.huizhou.gov.cn" </w:instrText>
      </w:r>
      <w:r>
        <w:rPr>
          <w:rFonts w:hint="default" w:ascii="Times New Roman" w:hAnsi="Times New Roman" w:eastAsia="仿宋" w:cs="Times New Roman"/>
          <w:color w:val="auto"/>
          <w:sz w:val="32"/>
          <w:szCs w:val="32"/>
          <w:highlight w:val="none"/>
          <w:u w:val="none"/>
        </w:rPr>
        <w:fldChar w:fldCharType="separate"/>
      </w:r>
      <w:r>
        <w:rPr>
          <w:rFonts w:hint="default" w:ascii="Times New Roman" w:hAnsi="Times New Roman" w:eastAsia="仿宋" w:cs="Times New Roman"/>
          <w:color w:val="auto"/>
          <w:sz w:val="32"/>
          <w:szCs w:val="32"/>
          <w:highlight w:val="none"/>
          <w:u w:val="none"/>
        </w:rPr>
        <w:t>http://zyjy.huizhou.gov.cn</w:t>
      </w:r>
      <w:r>
        <w:rPr>
          <w:rFonts w:hint="default" w:ascii="Times New Roman" w:hAnsi="Times New Roman" w:eastAsia="仿宋" w:cs="Times New Roman"/>
          <w:color w:val="auto"/>
          <w:sz w:val="32"/>
          <w:szCs w:val="32"/>
          <w:highlight w:val="none"/>
          <w:u w:val="none"/>
        </w:rPr>
        <w:fldChar w:fldCharType="end"/>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b w:val="0"/>
          <w:bCs w:val="0"/>
          <w:color w:val="auto"/>
          <w:sz w:val="32"/>
          <w:szCs w:val="32"/>
          <w:u w:val="none"/>
        </w:rPr>
        <w:t>惠州市公共资源交易中心交易大厅的电子显示屏</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u w:val="none"/>
        </w:rPr>
      </w:pPr>
      <w:r>
        <w:rPr>
          <w:rFonts w:hint="default" w:ascii="Times New Roman" w:hAnsi="Times New Roman" w:eastAsia="仿宋" w:cs="Times New Roman"/>
          <w:b w:val="0"/>
          <w:bCs w:val="0"/>
          <w:color w:val="auto"/>
          <w:sz w:val="32"/>
          <w:szCs w:val="32"/>
          <w:u w:val="none"/>
        </w:rPr>
        <w:t>联系人：罗工</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u w:val="none"/>
        </w:rPr>
        <w:t>联系电话：0752-712102</w:t>
      </w:r>
      <w:r>
        <w:rPr>
          <w:rFonts w:hint="default" w:ascii="Times New Roman" w:hAnsi="Times New Roman" w:eastAsia="仿宋" w:cs="Times New Roman"/>
          <w:b w:val="0"/>
          <w:bCs w:val="0"/>
          <w:color w:val="auto"/>
          <w:sz w:val="32"/>
          <w:szCs w:val="32"/>
          <w:highlight w:val="none"/>
        </w:rPr>
        <w:t>9</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lang w:val="en-US" w:eastAsia="zh-CN"/>
        </w:rPr>
      </w:pPr>
    </w:p>
    <w:p>
      <w:pPr>
        <w:pStyle w:val="3"/>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 w:cs="Times New Roman"/>
          <w:b w:val="0"/>
          <w:bCs w:val="0"/>
          <w:color w:val="auto"/>
          <w:sz w:val="32"/>
          <w:szCs w:val="32"/>
          <w:highlight w:val="none"/>
        </w:rPr>
      </w:pPr>
    </w:p>
    <w:p>
      <w:pPr>
        <w:keepNext w:val="0"/>
        <w:keepLines w:val="0"/>
        <w:pageBreakBefore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 w:cs="Times New Roman"/>
          <w:b w:val="0"/>
          <w:bCs w:val="0"/>
          <w:color w:val="auto"/>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仿宋" w:cs="Times New Roman"/>
          <w:b w:val="0"/>
          <w:bCs w:val="0"/>
          <w:color w:val="auto"/>
          <w:sz w:val="32"/>
          <w:szCs w:val="32"/>
          <w:highlight w:val="none"/>
          <w:lang w:val="en-US" w:eastAsia="zh-CN"/>
        </w:rPr>
        <w:t xml:space="preserve">                                 惠州市自然资源局            2022</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u w:val="none"/>
          <w:lang w:val="en-US" w:eastAsia="zh-CN"/>
        </w:rPr>
        <w:t>11</w:t>
      </w:r>
      <w:r>
        <w:rPr>
          <w:rFonts w:hint="default" w:ascii="Times New Roman" w:hAnsi="Times New Roman" w:eastAsia="仿宋" w:cs="Times New Roman"/>
          <w:b w:val="0"/>
          <w:bCs w:val="0"/>
          <w:color w:val="auto"/>
          <w:sz w:val="32"/>
          <w:szCs w:val="32"/>
          <w:highlight w:val="none"/>
        </w:rPr>
        <w:t>月</w:t>
      </w:r>
      <w:r>
        <w:rPr>
          <w:rFonts w:hint="default" w:ascii="Times New Roman" w:hAnsi="Times New Roman" w:eastAsia="仿宋" w:cs="Times New Roman"/>
          <w:b w:val="0"/>
          <w:bCs w:val="0"/>
          <w:color w:val="auto"/>
          <w:sz w:val="32"/>
          <w:szCs w:val="32"/>
          <w:highlight w:val="none"/>
          <w:lang w:val="en-US" w:eastAsia="zh-CN"/>
        </w:rPr>
        <w:t>15</w:t>
      </w:r>
      <w:r>
        <w:rPr>
          <w:rFonts w:hint="default" w:ascii="Times New Roman" w:hAnsi="Times New Roman" w:eastAsia="仿宋" w:cs="Times New Roman"/>
          <w:b w:val="0"/>
          <w:bCs w:val="0"/>
          <w:color w:val="auto"/>
          <w:sz w:val="32"/>
          <w:szCs w:val="32"/>
          <w:highlight w:val="none"/>
          <w:u w:val="none"/>
          <w:lang w:val="en-US" w:eastAsia="zh-CN"/>
        </w:rPr>
        <w:t>日</w:t>
      </w:r>
    </w:p>
    <w:p>
      <w:pPr>
        <w:pStyle w:val="33"/>
        <w:keepNext w:val="0"/>
        <w:keepLines w:val="0"/>
        <w:widowControl w:val="0"/>
        <w:shd w:val="clear" w:color="auto" w:fill="auto"/>
        <w:bidi w:val="0"/>
        <w:spacing w:before="0" w:after="260" w:line="240" w:lineRule="auto"/>
        <w:ind w:left="0" w:leftChars="0" w:right="0" w:firstLine="0" w:firstLineChars="0"/>
        <w:jc w:val="left"/>
        <w:rPr>
          <w:rFonts w:hint="default" w:ascii="Times New Roman" w:hAnsi="Times New Roman" w:cs="Times New Roman"/>
        </w:rPr>
      </w:pPr>
      <w:r>
        <w:rPr>
          <w:rFonts w:hint="default" w:ascii="Times New Roman" w:hAnsi="Times New Roman" w:cs="Times New Roman"/>
          <w:color w:val="000000"/>
          <w:spacing w:val="0"/>
          <w:w w:val="100"/>
          <w:position w:val="0"/>
        </w:rPr>
        <w:t>附表:</w:t>
      </w:r>
    </w:p>
    <w:p>
      <w:pPr>
        <w:pStyle w:val="34"/>
        <w:keepNext w:val="0"/>
        <w:keepLines w:val="0"/>
        <w:widowControl w:val="0"/>
        <w:shd w:val="clear" w:color="auto" w:fill="auto"/>
        <w:bidi w:val="0"/>
        <w:spacing w:before="0" w:after="0" w:line="240" w:lineRule="auto"/>
        <w:ind w:right="0"/>
        <w:jc w:val="center"/>
        <w:rPr>
          <w:rFonts w:hint="default" w:ascii="Times New Roman" w:hAnsi="Times New Roman" w:eastAsia="方正小标宋_GBK" w:cs="Times New Roman"/>
          <w:color w:val="000000"/>
          <w:spacing w:val="0"/>
          <w:w w:val="100"/>
          <w:position w:val="0"/>
          <w:sz w:val="44"/>
          <w:szCs w:val="44"/>
        </w:rPr>
      </w:pPr>
      <w:r>
        <w:rPr>
          <w:rFonts w:hint="default" w:ascii="Times New Roman" w:hAnsi="Times New Roman" w:eastAsia="方正小标宋_GBK" w:cs="Times New Roman"/>
          <w:color w:val="000000"/>
          <w:spacing w:val="0"/>
          <w:w w:val="100"/>
          <w:position w:val="0"/>
          <w:sz w:val="44"/>
          <w:szCs w:val="44"/>
        </w:rPr>
        <w:t>网上挂牌出让地块基本情况及规划建设指标</w:t>
      </w:r>
    </w:p>
    <w:p>
      <w:pPr>
        <w:pStyle w:val="34"/>
        <w:keepNext w:val="0"/>
        <w:keepLines w:val="0"/>
        <w:widowControl w:val="0"/>
        <w:shd w:val="clear" w:color="auto" w:fill="auto"/>
        <w:bidi w:val="0"/>
        <w:spacing w:before="0" w:after="0" w:line="240" w:lineRule="auto"/>
        <w:ind w:right="0"/>
        <w:jc w:val="center"/>
        <w:rPr>
          <w:rFonts w:hint="default" w:ascii="Times New Roman" w:hAnsi="Times New Roman" w:cs="Times New Roman"/>
          <w:color w:val="000000"/>
          <w:spacing w:val="0"/>
          <w:w w:val="100"/>
          <w:position w:val="0"/>
        </w:rPr>
      </w:pPr>
    </w:p>
    <w:tbl>
      <w:tblPr>
        <w:tblStyle w:val="9"/>
        <w:tblW w:w="14537" w:type="dxa"/>
        <w:jc w:val="center"/>
        <w:tblLayout w:type="fixed"/>
        <w:tblCellMar>
          <w:top w:w="0" w:type="dxa"/>
          <w:left w:w="10" w:type="dxa"/>
          <w:bottom w:w="0" w:type="dxa"/>
          <w:right w:w="10" w:type="dxa"/>
        </w:tblCellMar>
      </w:tblPr>
      <w:tblGrid>
        <w:gridCol w:w="1113"/>
        <w:gridCol w:w="1255"/>
        <w:gridCol w:w="996"/>
        <w:gridCol w:w="872"/>
        <w:gridCol w:w="982"/>
        <w:gridCol w:w="1105"/>
        <w:gridCol w:w="927"/>
        <w:gridCol w:w="968"/>
        <w:gridCol w:w="1909"/>
        <w:gridCol w:w="709"/>
        <w:gridCol w:w="1827"/>
        <w:gridCol w:w="1023"/>
        <w:gridCol w:w="851"/>
      </w:tblGrid>
      <w:tr>
        <w:tblPrEx>
          <w:tblCellMar>
            <w:top w:w="0" w:type="dxa"/>
            <w:left w:w="10" w:type="dxa"/>
            <w:bottom w:w="0" w:type="dxa"/>
            <w:right w:w="10" w:type="dxa"/>
          </w:tblCellMar>
        </w:tblPrEx>
        <w:trPr>
          <w:trHeight w:val="472" w:hRule="exact"/>
          <w:jc w:val="center"/>
        </w:trPr>
        <w:tc>
          <w:tcPr>
            <w:tcW w:w="1113" w:type="dxa"/>
            <w:vMerge w:val="restart"/>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仿宋_GB2312" w:cs="Times New Roman"/>
                <w:b/>
                <w:bCs/>
                <w:color w:val="auto"/>
                <w:kern w:val="2"/>
                <w:sz w:val="21"/>
                <w:szCs w:val="21"/>
                <w:highlight w:val="none"/>
                <w:u w:val="none"/>
                <w:shd w:val="clear"/>
                <w:lang w:val="en-US" w:eastAsia="zh-CN" w:bidi="ar-SA"/>
              </w:rPr>
            </w:pPr>
            <w:r>
              <w:rPr>
                <w:rFonts w:hint="default" w:ascii="Times New Roman" w:hAnsi="Times New Roman" w:eastAsia="仿宋_GB2312" w:cs="Times New Roman"/>
                <w:b/>
                <w:bCs/>
                <w:color w:val="auto"/>
                <w:kern w:val="2"/>
                <w:sz w:val="21"/>
                <w:szCs w:val="21"/>
                <w:highlight w:val="none"/>
                <w:u w:val="none"/>
                <w:shd w:val="clear"/>
                <w:lang w:val="en-US" w:eastAsia="zh-CN" w:bidi="ar-SA"/>
              </w:rPr>
              <w:t>挂牌地块编号</w:t>
            </w:r>
          </w:p>
        </w:tc>
        <w:tc>
          <w:tcPr>
            <w:tcW w:w="1255" w:type="dxa"/>
            <w:vMerge w:val="restart"/>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仿宋_GB2312" w:cs="Times New Roman"/>
                <w:b/>
                <w:bCs/>
                <w:color w:val="auto"/>
                <w:kern w:val="2"/>
                <w:sz w:val="21"/>
                <w:szCs w:val="21"/>
                <w:highlight w:val="none"/>
                <w:u w:val="none"/>
                <w:shd w:val="clear"/>
                <w:lang w:val="en-US" w:eastAsia="zh-CN" w:bidi="ar-SA"/>
              </w:rPr>
            </w:pPr>
            <w:r>
              <w:rPr>
                <w:rFonts w:hint="default" w:ascii="Times New Roman" w:hAnsi="Times New Roman" w:eastAsia="仿宋_GB2312" w:cs="Times New Roman"/>
                <w:b/>
                <w:bCs/>
                <w:color w:val="auto"/>
                <w:kern w:val="2"/>
                <w:sz w:val="21"/>
                <w:szCs w:val="21"/>
                <w:highlight w:val="none"/>
                <w:u w:val="none"/>
                <w:shd w:val="clear"/>
                <w:lang w:val="en-US" w:eastAsia="zh-CN" w:bidi="ar-SA"/>
              </w:rPr>
              <w:t>土地位置</w:t>
            </w:r>
          </w:p>
        </w:tc>
        <w:tc>
          <w:tcPr>
            <w:tcW w:w="996" w:type="dxa"/>
            <w:vMerge w:val="restart"/>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仿宋_GB2312" w:cs="Times New Roman"/>
                <w:b/>
                <w:bCs/>
                <w:color w:val="auto"/>
                <w:kern w:val="2"/>
                <w:sz w:val="21"/>
                <w:szCs w:val="21"/>
                <w:highlight w:val="none"/>
                <w:u w:val="none"/>
                <w:shd w:val="clear"/>
                <w:lang w:val="en-US" w:eastAsia="zh-CN" w:bidi="ar-SA"/>
              </w:rPr>
            </w:pPr>
            <w:r>
              <w:rPr>
                <w:rFonts w:hint="default" w:ascii="Times New Roman" w:hAnsi="Times New Roman" w:eastAsia="仿宋_GB2312" w:cs="Times New Roman"/>
                <w:b/>
                <w:bCs/>
                <w:color w:val="auto"/>
                <w:kern w:val="2"/>
                <w:sz w:val="21"/>
                <w:szCs w:val="21"/>
                <w:highlight w:val="none"/>
                <w:u w:val="none"/>
                <w:shd w:val="clear"/>
                <w:lang w:val="en-US" w:eastAsia="zh-CN" w:bidi="ar-SA"/>
              </w:rPr>
              <w:t>用地编号</w:t>
            </w:r>
          </w:p>
        </w:tc>
        <w:tc>
          <w:tcPr>
            <w:tcW w:w="872" w:type="dxa"/>
            <w:vMerge w:val="restart"/>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仿宋_GB2312" w:cs="Times New Roman"/>
                <w:b/>
                <w:bCs/>
                <w:color w:val="auto"/>
                <w:kern w:val="2"/>
                <w:sz w:val="21"/>
                <w:szCs w:val="21"/>
                <w:highlight w:val="none"/>
                <w:u w:val="none"/>
                <w:shd w:val="clear"/>
                <w:lang w:val="en-US" w:eastAsia="zh-CN" w:bidi="ar-SA"/>
              </w:rPr>
            </w:pPr>
            <w:r>
              <w:rPr>
                <w:rFonts w:hint="default" w:ascii="Times New Roman" w:hAnsi="Times New Roman" w:eastAsia="仿宋_GB2312" w:cs="Times New Roman"/>
                <w:b/>
                <w:bCs/>
                <w:color w:val="auto"/>
                <w:kern w:val="2"/>
                <w:sz w:val="21"/>
                <w:szCs w:val="21"/>
                <w:highlight w:val="none"/>
                <w:u w:val="none"/>
                <w:shd w:val="clear"/>
                <w:lang w:val="en-US" w:eastAsia="zh-CN" w:bidi="ar-SA"/>
              </w:rPr>
              <w:t>土地用途</w:t>
            </w:r>
          </w:p>
        </w:tc>
        <w:tc>
          <w:tcPr>
            <w:tcW w:w="8427" w:type="dxa"/>
            <w:gridSpan w:val="7"/>
            <w:tcBorders>
              <w:top w:val="single" w:color="auto" w:sz="4" w:space="0"/>
              <w:lef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仿宋_GB2312" w:cs="Times New Roman"/>
                <w:b/>
                <w:bCs/>
                <w:color w:val="auto"/>
                <w:kern w:val="2"/>
                <w:sz w:val="21"/>
                <w:szCs w:val="21"/>
                <w:highlight w:val="none"/>
                <w:u w:val="none"/>
                <w:shd w:val="clear"/>
                <w:lang w:val="en-US" w:eastAsia="zh-CN" w:bidi="ar-SA"/>
              </w:rPr>
            </w:pPr>
            <w:r>
              <w:rPr>
                <w:rFonts w:hint="default" w:ascii="Times New Roman" w:hAnsi="Times New Roman" w:eastAsia="仿宋_GB2312" w:cs="Times New Roman"/>
                <w:b/>
                <w:bCs/>
                <w:color w:val="auto"/>
                <w:kern w:val="2"/>
                <w:sz w:val="21"/>
                <w:szCs w:val="21"/>
                <w:highlight w:val="none"/>
                <w:u w:val="none"/>
                <w:shd w:val="clear"/>
                <w:lang w:val="en-US" w:eastAsia="zh-CN" w:bidi="ar-SA"/>
              </w:rPr>
              <w:t>规划指标要求</w:t>
            </w:r>
          </w:p>
        </w:tc>
        <w:tc>
          <w:tcPr>
            <w:tcW w:w="1023" w:type="dxa"/>
            <w:vMerge w:val="restart"/>
            <w:tcBorders>
              <w:top w:val="single" w:color="auto" w:sz="4" w:space="0"/>
              <w:left w:val="single" w:color="auto" w:sz="4" w:space="0"/>
              <w:right w:val="single" w:color="auto" w:sz="4" w:space="0"/>
            </w:tcBorders>
            <w:shd w:val="clear" w:color="auto" w:fill="FFFFFF"/>
            <w:vAlign w:val="center"/>
          </w:tcPr>
          <w:p>
            <w:pPr>
              <w:autoSpaceDE w:val="0"/>
              <w:autoSpaceDN w:val="0"/>
              <w:adjustRightInd w:val="0"/>
              <w:spacing w:line="240" w:lineRule="exact"/>
              <w:jc w:val="center"/>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仿宋_GB2312" w:cs="Times New Roman"/>
                <w:b/>
                <w:bCs/>
                <w:color w:val="auto"/>
                <w:szCs w:val="21"/>
                <w:highlight w:val="none"/>
                <w:u w:val="none"/>
              </w:rPr>
              <w:t>适建性</w:t>
            </w:r>
          </w:p>
        </w:tc>
        <w:tc>
          <w:tcPr>
            <w:tcW w:w="851" w:type="dxa"/>
            <w:vMerge w:val="restart"/>
            <w:tcBorders>
              <w:top w:val="single" w:color="auto" w:sz="4" w:space="0"/>
              <w:left w:val="single" w:color="auto" w:sz="4" w:space="0"/>
              <w:right w:val="single" w:color="auto" w:sz="4" w:space="0"/>
            </w:tcBorders>
            <w:shd w:val="clear" w:color="auto" w:fill="FFFFFF"/>
            <w:vAlign w:val="center"/>
          </w:tcPr>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leftChars="0" w:right="0" w:rightChars="0" w:firstLine="0" w:firstLineChars="0"/>
              <w:jc w:val="center"/>
              <w:textAlignment w:val="auto"/>
              <w:rPr>
                <w:rFonts w:hint="default" w:ascii="Times New Roman" w:hAnsi="Times New Roman" w:eastAsia="仿宋_GB2312" w:cs="Times New Roman"/>
                <w:b/>
                <w:bCs/>
                <w:color w:val="auto"/>
                <w:kern w:val="2"/>
                <w:sz w:val="21"/>
                <w:szCs w:val="21"/>
                <w:highlight w:val="none"/>
                <w:u w:val="none"/>
                <w:shd w:val="clear"/>
                <w:lang w:val="en-US" w:eastAsia="zh-CN" w:bidi="ar-SA"/>
              </w:rPr>
            </w:pPr>
            <w:r>
              <w:rPr>
                <w:rFonts w:hint="default" w:ascii="Times New Roman" w:hAnsi="Times New Roman" w:eastAsia="仿宋_GB2312" w:cs="Times New Roman"/>
                <w:b/>
                <w:bCs/>
                <w:color w:val="auto"/>
                <w:kern w:val="2"/>
                <w:sz w:val="21"/>
                <w:szCs w:val="21"/>
                <w:highlight w:val="none"/>
                <w:u w:val="none"/>
                <w:shd w:val="clear"/>
                <w:lang w:val="en-US" w:eastAsia="zh-CN" w:bidi="ar-SA"/>
              </w:rPr>
              <w:t>出让</w:t>
            </w:r>
          </w:p>
          <w:p>
            <w:pPr>
              <w:pStyle w:val="35"/>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leftChars="0" w:right="0" w:rightChars="0" w:firstLine="0" w:firstLineChars="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仿宋_GB2312" w:cs="Times New Roman"/>
                <w:b/>
                <w:bCs/>
                <w:color w:val="auto"/>
                <w:kern w:val="2"/>
                <w:sz w:val="21"/>
                <w:szCs w:val="21"/>
                <w:highlight w:val="none"/>
                <w:u w:val="none"/>
                <w:shd w:val="clear"/>
                <w:lang w:val="en-US" w:eastAsia="zh-CN" w:bidi="ar-SA"/>
              </w:rPr>
              <w:t>年限</w:t>
            </w:r>
          </w:p>
        </w:tc>
      </w:tr>
      <w:tr>
        <w:tblPrEx>
          <w:tblCellMar>
            <w:top w:w="0" w:type="dxa"/>
            <w:left w:w="10" w:type="dxa"/>
            <w:bottom w:w="0" w:type="dxa"/>
            <w:right w:w="10" w:type="dxa"/>
          </w:tblCellMar>
        </w:tblPrEx>
        <w:trPr>
          <w:trHeight w:val="1010" w:hRule="exact"/>
          <w:jc w:val="center"/>
        </w:trPr>
        <w:tc>
          <w:tcPr>
            <w:tcW w:w="1113" w:type="dxa"/>
            <w:vMerge w:val="continue"/>
            <w:tcBorders>
              <w:left w:val="single" w:color="auto" w:sz="4" w:space="0"/>
            </w:tcBorders>
            <w:shd w:val="clear" w:color="auto" w:fill="FFFFFF"/>
            <w:vAlign w:val="center"/>
          </w:tcPr>
          <w:p>
            <w:pPr>
              <w:autoSpaceDE w:val="0"/>
              <w:autoSpaceDN w:val="0"/>
              <w:adjustRightInd w:val="0"/>
              <w:spacing w:line="240" w:lineRule="exact"/>
              <w:jc w:val="center"/>
              <w:rPr>
                <w:rFonts w:hint="default" w:ascii="Times New Roman" w:hAnsi="Times New Roman" w:eastAsia="仿宋_GB2312" w:cs="Times New Roman"/>
                <w:b/>
                <w:bCs/>
                <w:color w:val="auto"/>
                <w:kern w:val="2"/>
                <w:sz w:val="21"/>
                <w:szCs w:val="21"/>
                <w:highlight w:val="none"/>
                <w:u w:val="none"/>
                <w:shd w:val="clear"/>
                <w:lang w:val="en-US" w:eastAsia="zh-CN" w:bidi="ar-SA"/>
              </w:rPr>
            </w:pPr>
          </w:p>
        </w:tc>
        <w:tc>
          <w:tcPr>
            <w:tcW w:w="1255" w:type="dxa"/>
            <w:vMerge w:val="continue"/>
            <w:tcBorders>
              <w:left w:val="single" w:color="auto" w:sz="4" w:space="0"/>
            </w:tcBorders>
            <w:shd w:val="clear" w:color="auto" w:fill="FFFFFF"/>
            <w:vAlign w:val="center"/>
          </w:tcPr>
          <w:p>
            <w:pPr>
              <w:autoSpaceDE w:val="0"/>
              <w:autoSpaceDN w:val="0"/>
              <w:adjustRightInd w:val="0"/>
              <w:spacing w:line="240" w:lineRule="exact"/>
              <w:jc w:val="center"/>
              <w:rPr>
                <w:rFonts w:hint="default" w:ascii="Times New Roman" w:hAnsi="Times New Roman" w:eastAsia="仿宋_GB2312" w:cs="Times New Roman"/>
                <w:b/>
                <w:bCs/>
                <w:color w:val="auto"/>
                <w:kern w:val="2"/>
                <w:sz w:val="21"/>
                <w:szCs w:val="21"/>
                <w:highlight w:val="none"/>
                <w:u w:val="none"/>
                <w:shd w:val="clear"/>
                <w:lang w:val="en-US" w:eastAsia="zh-CN" w:bidi="ar-SA"/>
              </w:rPr>
            </w:pPr>
          </w:p>
        </w:tc>
        <w:tc>
          <w:tcPr>
            <w:tcW w:w="996" w:type="dxa"/>
            <w:vMerge w:val="continue"/>
            <w:tcBorders>
              <w:left w:val="single" w:color="auto" w:sz="4" w:space="0"/>
            </w:tcBorders>
            <w:shd w:val="clear" w:color="auto" w:fill="FFFFFF"/>
            <w:vAlign w:val="center"/>
          </w:tcPr>
          <w:p>
            <w:pPr>
              <w:autoSpaceDE w:val="0"/>
              <w:autoSpaceDN w:val="0"/>
              <w:adjustRightInd w:val="0"/>
              <w:spacing w:line="240" w:lineRule="exact"/>
              <w:jc w:val="center"/>
              <w:rPr>
                <w:rFonts w:hint="default" w:ascii="Times New Roman" w:hAnsi="Times New Roman" w:eastAsia="仿宋_GB2312" w:cs="Times New Roman"/>
                <w:b/>
                <w:bCs/>
                <w:color w:val="auto"/>
                <w:kern w:val="2"/>
                <w:sz w:val="21"/>
                <w:szCs w:val="21"/>
                <w:highlight w:val="none"/>
                <w:u w:val="none"/>
                <w:shd w:val="clear"/>
                <w:lang w:val="en-US" w:eastAsia="zh-CN" w:bidi="ar-SA"/>
              </w:rPr>
            </w:pPr>
          </w:p>
        </w:tc>
        <w:tc>
          <w:tcPr>
            <w:tcW w:w="872" w:type="dxa"/>
            <w:vMerge w:val="continue"/>
            <w:tcBorders>
              <w:left w:val="single" w:color="auto" w:sz="4" w:space="0"/>
            </w:tcBorders>
            <w:shd w:val="clear" w:color="auto" w:fill="FFFFFF"/>
            <w:vAlign w:val="center"/>
          </w:tcPr>
          <w:p>
            <w:pPr>
              <w:autoSpaceDE w:val="0"/>
              <w:autoSpaceDN w:val="0"/>
              <w:adjustRightInd w:val="0"/>
              <w:spacing w:line="240" w:lineRule="exact"/>
              <w:jc w:val="center"/>
              <w:rPr>
                <w:rFonts w:hint="default" w:ascii="Times New Roman" w:hAnsi="Times New Roman" w:eastAsia="仿宋_GB2312" w:cs="Times New Roman"/>
                <w:b/>
                <w:bCs/>
                <w:color w:val="auto"/>
                <w:kern w:val="2"/>
                <w:sz w:val="21"/>
                <w:szCs w:val="21"/>
                <w:highlight w:val="none"/>
                <w:u w:val="none"/>
                <w:shd w:val="clear"/>
                <w:lang w:val="en-US" w:eastAsia="zh-CN" w:bidi="ar-SA"/>
              </w:rPr>
            </w:pPr>
          </w:p>
        </w:tc>
        <w:tc>
          <w:tcPr>
            <w:tcW w:w="982" w:type="dxa"/>
            <w:tcBorders>
              <w:top w:val="single" w:color="auto" w:sz="4" w:space="0"/>
              <w:left w:val="single" w:color="auto" w:sz="4" w:space="0"/>
              <w:bottom w:val="single" w:color="auto" w:sz="4" w:space="0"/>
            </w:tcBorders>
            <w:shd w:val="clear" w:color="auto" w:fill="FFFFFF"/>
            <w:vAlign w:val="center"/>
          </w:tcPr>
          <w:p>
            <w:pPr>
              <w:autoSpaceDE w:val="0"/>
              <w:autoSpaceDN w:val="0"/>
              <w:adjustRightInd w:val="0"/>
              <w:spacing w:line="240" w:lineRule="exact"/>
              <w:jc w:val="center"/>
              <w:rPr>
                <w:rFonts w:hint="default" w:ascii="Times New Roman" w:hAnsi="Times New Roman" w:eastAsia="仿宋_GB2312" w:cs="Times New Roman"/>
                <w:b/>
                <w:bCs/>
                <w:color w:val="auto"/>
                <w:kern w:val="2"/>
                <w:sz w:val="21"/>
                <w:szCs w:val="21"/>
                <w:highlight w:val="none"/>
                <w:u w:val="none"/>
                <w:shd w:val="clear"/>
                <w:lang w:val="en-US" w:eastAsia="zh-CN" w:bidi="ar-SA"/>
              </w:rPr>
            </w:pPr>
            <w:r>
              <w:rPr>
                <w:rFonts w:hint="default" w:ascii="Times New Roman" w:hAnsi="Times New Roman" w:eastAsia="仿宋_GB2312" w:cs="Times New Roman"/>
                <w:b/>
                <w:bCs/>
                <w:color w:val="auto"/>
                <w:kern w:val="2"/>
                <w:sz w:val="21"/>
                <w:szCs w:val="21"/>
                <w:highlight w:val="none"/>
                <w:u w:val="none"/>
                <w:shd w:val="clear"/>
                <w:lang w:val="en-US" w:eastAsia="zh-CN" w:bidi="ar-SA"/>
              </w:rPr>
              <w:t>计算指标用地面积</w:t>
            </w:r>
          </w:p>
        </w:tc>
        <w:tc>
          <w:tcPr>
            <w:tcW w:w="1105" w:type="dxa"/>
            <w:tcBorders>
              <w:top w:val="single" w:color="auto" w:sz="4" w:space="0"/>
              <w:left w:val="single" w:color="auto" w:sz="4" w:space="0"/>
              <w:bottom w:val="single" w:color="auto" w:sz="4" w:space="0"/>
            </w:tcBorders>
            <w:shd w:val="clear" w:color="auto" w:fill="FFFFFF"/>
            <w:vAlign w:val="center"/>
          </w:tcPr>
          <w:p>
            <w:pPr>
              <w:autoSpaceDE w:val="0"/>
              <w:autoSpaceDN w:val="0"/>
              <w:adjustRightInd w:val="0"/>
              <w:spacing w:line="240" w:lineRule="exact"/>
              <w:jc w:val="center"/>
              <w:rPr>
                <w:rFonts w:hint="default" w:ascii="Times New Roman" w:hAnsi="Times New Roman" w:eastAsia="仿宋_GB2312" w:cs="Times New Roman"/>
                <w:b/>
                <w:bCs/>
                <w:color w:val="auto"/>
                <w:kern w:val="2"/>
                <w:sz w:val="21"/>
                <w:szCs w:val="21"/>
                <w:highlight w:val="none"/>
                <w:u w:val="none"/>
                <w:shd w:val="clear"/>
                <w:lang w:val="en-US" w:eastAsia="zh-CN" w:bidi="ar-SA"/>
              </w:rPr>
            </w:pPr>
            <w:r>
              <w:rPr>
                <w:rFonts w:hint="default" w:ascii="Times New Roman" w:hAnsi="Times New Roman" w:eastAsia="仿宋_GB2312" w:cs="Times New Roman"/>
                <w:b/>
                <w:bCs/>
                <w:color w:val="auto"/>
                <w:kern w:val="2"/>
                <w:sz w:val="21"/>
                <w:szCs w:val="21"/>
                <w:highlight w:val="none"/>
                <w:u w:val="none"/>
                <w:shd w:val="clear"/>
                <w:lang w:val="en-US" w:eastAsia="zh-CN" w:bidi="ar-SA"/>
              </w:rPr>
              <w:t>宗地使用权面积</w:t>
            </w:r>
          </w:p>
        </w:tc>
        <w:tc>
          <w:tcPr>
            <w:tcW w:w="927" w:type="dxa"/>
            <w:tcBorders>
              <w:top w:val="single" w:color="auto" w:sz="4" w:space="0"/>
              <w:left w:val="single" w:color="auto" w:sz="4" w:space="0"/>
            </w:tcBorders>
            <w:shd w:val="clear" w:color="auto" w:fill="FFFFFF"/>
            <w:vAlign w:val="center"/>
          </w:tcPr>
          <w:p>
            <w:pPr>
              <w:autoSpaceDE w:val="0"/>
              <w:autoSpaceDN w:val="0"/>
              <w:adjustRightInd w:val="0"/>
              <w:spacing w:line="240" w:lineRule="exact"/>
              <w:jc w:val="center"/>
              <w:rPr>
                <w:rFonts w:hint="default" w:ascii="Times New Roman" w:hAnsi="Times New Roman" w:eastAsia="仿宋_GB2312" w:cs="Times New Roman"/>
                <w:b/>
                <w:bCs/>
                <w:color w:val="auto"/>
                <w:kern w:val="2"/>
                <w:sz w:val="21"/>
                <w:szCs w:val="21"/>
                <w:highlight w:val="none"/>
                <w:u w:val="none"/>
                <w:shd w:val="clear"/>
                <w:lang w:val="en-US" w:eastAsia="zh-CN" w:bidi="ar-SA"/>
              </w:rPr>
            </w:pPr>
            <w:r>
              <w:rPr>
                <w:rFonts w:hint="default" w:ascii="Times New Roman" w:hAnsi="Times New Roman" w:eastAsia="仿宋_GB2312" w:cs="Times New Roman"/>
                <w:b/>
                <w:bCs/>
                <w:color w:val="auto"/>
                <w:kern w:val="2"/>
                <w:sz w:val="21"/>
                <w:szCs w:val="21"/>
                <w:highlight w:val="none"/>
                <w:u w:val="none"/>
                <w:shd w:val="clear"/>
                <w:lang w:val="en-US" w:eastAsia="zh-CN" w:bidi="ar-SA"/>
              </w:rPr>
              <w:t>建</w:t>
            </w:r>
          </w:p>
          <w:p>
            <w:pPr>
              <w:autoSpaceDE w:val="0"/>
              <w:autoSpaceDN w:val="0"/>
              <w:adjustRightInd w:val="0"/>
              <w:spacing w:line="240" w:lineRule="exact"/>
              <w:jc w:val="center"/>
              <w:rPr>
                <w:rFonts w:hint="default" w:ascii="Times New Roman" w:hAnsi="Times New Roman" w:eastAsia="仿宋_GB2312" w:cs="Times New Roman"/>
                <w:b/>
                <w:bCs/>
                <w:color w:val="auto"/>
                <w:kern w:val="2"/>
                <w:sz w:val="21"/>
                <w:szCs w:val="21"/>
                <w:highlight w:val="none"/>
                <w:u w:val="none"/>
                <w:shd w:val="clear"/>
                <w:lang w:val="en-US" w:eastAsia="zh-CN" w:bidi="ar-SA"/>
              </w:rPr>
            </w:pPr>
            <w:r>
              <w:rPr>
                <w:rFonts w:hint="default" w:ascii="Times New Roman" w:hAnsi="Times New Roman" w:eastAsia="仿宋_GB2312" w:cs="Times New Roman"/>
                <w:b/>
                <w:bCs/>
                <w:color w:val="auto"/>
                <w:kern w:val="2"/>
                <w:sz w:val="21"/>
                <w:szCs w:val="21"/>
                <w:highlight w:val="none"/>
                <w:u w:val="none"/>
                <w:shd w:val="clear"/>
                <w:lang w:val="en-US" w:eastAsia="zh-CN" w:bidi="ar-SA"/>
              </w:rPr>
              <w:t>筑</w:t>
            </w:r>
          </w:p>
          <w:p>
            <w:pPr>
              <w:autoSpaceDE w:val="0"/>
              <w:autoSpaceDN w:val="0"/>
              <w:adjustRightInd w:val="0"/>
              <w:spacing w:line="240" w:lineRule="exact"/>
              <w:jc w:val="center"/>
              <w:rPr>
                <w:rFonts w:hint="default" w:ascii="Times New Roman" w:hAnsi="Times New Roman" w:eastAsia="仿宋_GB2312" w:cs="Times New Roman"/>
                <w:b/>
                <w:bCs/>
                <w:color w:val="auto"/>
                <w:kern w:val="2"/>
                <w:sz w:val="21"/>
                <w:szCs w:val="21"/>
                <w:highlight w:val="none"/>
                <w:u w:val="none"/>
                <w:shd w:val="clear"/>
                <w:lang w:val="en-US" w:eastAsia="zh-CN" w:bidi="ar-SA"/>
              </w:rPr>
            </w:pPr>
            <w:r>
              <w:rPr>
                <w:rFonts w:hint="default" w:ascii="Times New Roman" w:hAnsi="Times New Roman" w:eastAsia="仿宋_GB2312" w:cs="Times New Roman"/>
                <w:b/>
                <w:bCs/>
                <w:color w:val="auto"/>
                <w:kern w:val="2"/>
                <w:sz w:val="21"/>
                <w:szCs w:val="21"/>
                <w:highlight w:val="none"/>
                <w:u w:val="none"/>
                <w:shd w:val="clear"/>
                <w:lang w:val="en-US" w:eastAsia="zh-CN" w:bidi="ar-SA"/>
              </w:rPr>
              <w:t>密</w:t>
            </w:r>
          </w:p>
          <w:p>
            <w:pPr>
              <w:autoSpaceDE w:val="0"/>
              <w:autoSpaceDN w:val="0"/>
              <w:adjustRightInd w:val="0"/>
              <w:spacing w:line="240" w:lineRule="exact"/>
              <w:jc w:val="center"/>
              <w:rPr>
                <w:rFonts w:hint="default" w:ascii="Times New Roman" w:hAnsi="Times New Roman" w:eastAsia="仿宋_GB2312" w:cs="Times New Roman"/>
                <w:b/>
                <w:bCs/>
                <w:color w:val="auto"/>
                <w:kern w:val="2"/>
                <w:sz w:val="21"/>
                <w:szCs w:val="21"/>
                <w:highlight w:val="none"/>
                <w:u w:val="none"/>
                <w:shd w:val="clear"/>
                <w:lang w:val="en-US" w:eastAsia="zh-CN" w:bidi="ar-SA"/>
              </w:rPr>
            </w:pPr>
            <w:r>
              <w:rPr>
                <w:rFonts w:hint="default" w:ascii="Times New Roman" w:hAnsi="Times New Roman" w:eastAsia="仿宋_GB2312" w:cs="Times New Roman"/>
                <w:b/>
                <w:bCs/>
                <w:color w:val="auto"/>
                <w:kern w:val="2"/>
                <w:sz w:val="21"/>
                <w:szCs w:val="21"/>
                <w:highlight w:val="none"/>
                <w:u w:val="none"/>
                <w:shd w:val="clear"/>
                <w:lang w:val="en-US" w:eastAsia="zh-CN" w:bidi="ar-SA"/>
              </w:rPr>
              <w:t>度</w:t>
            </w:r>
          </w:p>
          <w:p>
            <w:pPr>
              <w:autoSpaceDE w:val="0"/>
              <w:autoSpaceDN w:val="0"/>
              <w:adjustRightInd w:val="0"/>
              <w:spacing w:line="240" w:lineRule="exact"/>
              <w:jc w:val="center"/>
              <w:rPr>
                <w:rFonts w:hint="default" w:ascii="Times New Roman" w:hAnsi="Times New Roman" w:eastAsia="仿宋_GB2312" w:cs="Times New Roman"/>
                <w:b/>
                <w:bCs/>
                <w:color w:val="auto"/>
                <w:kern w:val="2"/>
                <w:sz w:val="21"/>
                <w:szCs w:val="21"/>
                <w:highlight w:val="none"/>
                <w:u w:val="none"/>
                <w:shd w:val="clear"/>
                <w:lang w:val="en-US" w:eastAsia="zh-CN" w:bidi="ar-SA"/>
              </w:rPr>
            </w:pPr>
          </w:p>
        </w:tc>
        <w:tc>
          <w:tcPr>
            <w:tcW w:w="968" w:type="dxa"/>
            <w:tcBorders>
              <w:top w:val="single" w:color="auto" w:sz="4" w:space="0"/>
              <w:left w:val="single" w:color="auto" w:sz="4" w:space="0"/>
            </w:tcBorders>
            <w:shd w:val="clear" w:color="auto" w:fill="FFFFFF"/>
            <w:vAlign w:val="center"/>
          </w:tcPr>
          <w:p>
            <w:pPr>
              <w:autoSpaceDE w:val="0"/>
              <w:autoSpaceDN w:val="0"/>
              <w:adjustRightInd w:val="0"/>
              <w:spacing w:line="240" w:lineRule="exact"/>
              <w:jc w:val="center"/>
              <w:rPr>
                <w:rFonts w:hint="default" w:ascii="Times New Roman" w:hAnsi="Times New Roman" w:eastAsia="仿宋_GB2312" w:cs="Times New Roman"/>
                <w:b/>
                <w:bCs/>
                <w:color w:val="auto"/>
                <w:kern w:val="2"/>
                <w:sz w:val="21"/>
                <w:szCs w:val="21"/>
                <w:highlight w:val="none"/>
                <w:u w:val="none"/>
                <w:shd w:val="clear"/>
                <w:lang w:val="en-US" w:eastAsia="zh-CN" w:bidi="ar-SA"/>
              </w:rPr>
            </w:pPr>
          </w:p>
          <w:p>
            <w:pPr>
              <w:autoSpaceDE w:val="0"/>
              <w:autoSpaceDN w:val="0"/>
              <w:adjustRightInd w:val="0"/>
              <w:spacing w:line="240" w:lineRule="exact"/>
              <w:jc w:val="center"/>
              <w:rPr>
                <w:rFonts w:hint="default" w:ascii="Times New Roman" w:hAnsi="Times New Roman" w:eastAsia="仿宋_GB2312" w:cs="Times New Roman"/>
                <w:b/>
                <w:bCs/>
                <w:color w:val="auto"/>
                <w:kern w:val="2"/>
                <w:sz w:val="21"/>
                <w:szCs w:val="21"/>
                <w:highlight w:val="none"/>
                <w:u w:val="none"/>
                <w:shd w:val="clear"/>
                <w:lang w:val="en-US" w:eastAsia="zh-CN" w:bidi="ar-SA"/>
              </w:rPr>
            </w:pPr>
            <w:r>
              <w:rPr>
                <w:rFonts w:hint="default" w:ascii="Times New Roman" w:hAnsi="Times New Roman" w:eastAsia="仿宋_GB2312" w:cs="Times New Roman"/>
                <w:b/>
                <w:bCs/>
                <w:color w:val="auto"/>
                <w:kern w:val="2"/>
                <w:sz w:val="21"/>
                <w:szCs w:val="21"/>
                <w:highlight w:val="none"/>
                <w:u w:val="none"/>
                <w:shd w:val="clear"/>
                <w:lang w:val="en-US" w:eastAsia="zh-CN" w:bidi="ar-SA"/>
              </w:rPr>
              <w:t>容</w:t>
            </w:r>
          </w:p>
          <w:p>
            <w:pPr>
              <w:autoSpaceDE w:val="0"/>
              <w:autoSpaceDN w:val="0"/>
              <w:adjustRightInd w:val="0"/>
              <w:spacing w:line="240" w:lineRule="exact"/>
              <w:jc w:val="center"/>
              <w:rPr>
                <w:rFonts w:hint="default" w:ascii="Times New Roman" w:hAnsi="Times New Roman" w:eastAsia="仿宋_GB2312" w:cs="Times New Roman"/>
                <w:b/>
                <w:bCs/>
                <w:color w:val="auto"/>
                <w:kern w:val="2"/>
                <w:sz w:val="21"/>
                <w:szCs w:val="21"/>
                <w:highlight w:val="none"/>
                <w:u w:val="none"/>
                <w:shd w:val="clear"/>
                <w:lang w:val="en-US" w:eastAsia="zh-CN" w:bidi="ar-SA"/>
              </w:rPr>
            </w:pPr>
            <w:r>
              <w:rPr>
                <w:rFonts w:hint="default" w:ascii="Times New Roman" w:hAnsi="Times New Roman" w:eastAsia="仿宋_GB2312" w:cs="Times New Roman"/>
                <w:b/>
                <w:bCs/>
                <w:color w:val="auto"/>
                <w:kern w:val="2"/>
                <w:sz w:val="21"/>
                <w:szCs w:val="21"/>
                <w:highlight w:val="none"/>
                <w:u w:val="none"/>
                <w:shd w:val="clear"/>
                <w:lang w:val="en-US" w:eastAsia="zh-CN" w:bidi="ar-SA"/>
              </w:rPr>
              <w:t>积</w:t>
            </w:r>
          </w:p>
          <w:p>
            <w:pPr>
              <w:autoSpaceDE w:val="0"/>
              <w:autoSpaceDN w:val="0"/>
              <w:adjustRightInd w:val="0"/>
              <w:spacing w:line="240" w:lineRule="exact"/>
              <w:jc w:val="center"/>
              <w:rPr>
                <w:rFonts w:hint="default" w:ascii="Times New Roman" w:hAnsi="Times New Roman" w:eastAsia="仿宋_GB2312" w:cs="Times New Roman"/>
                <w:b/>
                <w:bCs/>
                <w:color w:val="auto"/>
                <w:kern w:val="2"/>
                <w:sz w:val="21"/>
                <w:szCs w:val="21"/>
                <w:highlight w:val="none"/>
                <w:u w:val="none"/>
                <w:shd w:val="clear"/>
                <w:lang w:val="en-US" w:eastAsia="zh-CN" w:bidi="ar-SA"/>
              </w:rPr>
            </w:pPr>
            <w:r>
              <w:rPr>
                <w:rFonts w:hint="default" w:ascii="Times New Roman" w:hAnsi="Times New Roman" w:eastAsia="仿宋_GB2312" w:cs="Times New Roman"/>
                <w:b/>
                <w:bCs/>
                <w:color w:val="auto"/>
                <w:kern w:val="2"/>
                <w:sz w:val="21"/>
                <w:szCs w:val="21"/>
                <w:highlight w:val="none"/>
                <w:u w:val="none"/>
                <w:shd w:val="clear"/>
                <w:lang w:val="en-US" w:eastAsia="zh-CN" w:bidi="ar-SA"/>
              </w:rPr>
              <w:t>率</w:t>
            </w:r>
          </w:p>
        </w:tc>
        <w:tc>
          <w:tcPr>
            <w:tcW w:w="1909" w:type="dxa"/>
            <w:tcBorders>
              <w:top w:val="single" w:color="auto" w:sz="4" w:space="0"/>
              <w:left w:val="single" w:color="auto" w:sz="4" w:space="0"/>
            </w:tcBorders>
            <w:shd w:val="clear" w:color="auto" w:fill="FFFFFF"/>
            <w:vAlign w:val="center"/>
          </w:tcPr>
          <w:p>
            <w:pPr>
              <w:autoSpaceDE w:val="0"/>
              <w:autoSpaceDN w:val="0"/>
              <w:adjustRightInd w:val="0"/>
              <w:spacing w:line="240" w:lineRule="exact"/>
              <w:jc w:val="center"/>
              <w:rPr>
                <w:rFonts w:hint="default" w:ascii="Times New Roman" w:hAnsi="Times New Roman" w:eastAsia="仿宋_GB2312" w:cs="Times New Roman"/>
                <w:b/>
                <w:bCs/>
                <w:color w:val="auto"/>
                <w:kern w:val="2"/>
                <w:sz w:val="21"/>
                <w:szCs w:val="21"/>
                <w:highlight w:val="none"/>
                <w:u w:val="none"/>
                <w:shd w:val="clear"/>
                <w:lang w:val="en-US" w:eastAsia="zh-CN" w:bidi="ar-SA"/>
              </w:rPr>
            </w:pPr>
            <w:r>
              <w:rPr>
                <w:rFonts w:hint="default" w:ascii="Times New Roman" w:hAnsi="Times New Roman" w:eastAsia="仿宋_GB2312" w:cs="Times New Roman"/>
                <w:b/>
                <w:bCs/>
                <w:color w:val="auto"/>
                <w:kern w:val="2"/>
                <w:sz w:val="21"/>
                <w:szCs w:val="21"/>
                <w:highlight w:val="none"/>
                <w:u w:val="none"/>
                <w:shd w:val="clear"/>
                <w:lang w:val="en-US" w:eastAsia="zh-CN" w:bidi="ar-SA"/>
              </w:rPr>
              <w:t>计容积率建筑面积</w:t>
            </w:r>
          </w:p>
        </w:tc>
        <w:tc>
          <w:tcPr>
            <w:tcW w:w="709" w:type="dxa"/>
            <w:tcBorders>
              <w:top w:val="single" w:color="auto" w:sz="4" w:space="0"/>
              <w:left w:val="single" w:color="auto" w:sz="4" w:space="0"/>
            </w:tcBorders>
            <w:shd w:val="clear" w:color="auto" w:fill="FFFFFF"/>
            <w:vAlign w:val="center"/>
          </w:tcPr>
          <w:p>
            <w:pPr>
              <w:autoSpaceDE w:val="0"/>
              <w:autoSpaceDN w:val="0"/>
              <w:adjustRightInd w:val="0"/>
              <w:spacing w:line="240" w:lineRule="exact"/>
              <w:jc w:val="center"/>
              <w:rPr>
                <w:rFonts w:hint="default" w:ascii="Times New Roman" w:hAnsi="Times New Roman" w:eastAsia="仿宋_GB2312" w:cs="Times New Roman"/>
                <w:b/>
                <w:bCs/>
                <w:color w:val="auto"/>
                <w:kern w:val="2"/>
                <w:sz w:val="21"/>
                <w:szCs w:val="21"/>
                <w:highlight w:val="none"/>
                <w:u w:val="none"/>
                <w:shd w:val="clear"/>
                <w:lang w:val="en-US" w:eastAsia="zh-CN" w:bidi="ar-SA"/>
              </w:rPr>
            </w:pPr>
          </w:p>
          <w:p>
            <w:pPr>
              <w:autoSpaceDE w:val="0"/>
              <w:autoSpaceDN w:val="0"/>
              <w:adjustRightInd w:val="0"/>
              <w:spacing w:line="240" w:lineRule="exact"/>
              <w:jc w:val="center"/>
              <w:rPr>
                <w:rFonts w:hint="default" w:ascii="Times New Roman" w:hAnsi="Times New Roman" w:eastAsia="仿宋_GB2312" w:cs="Times New Roman"/>
                <w:b/>
                <w:bCs/>
                <w:color w:val="auto"/>
                <w:kern w:val="2"/>
                <w:sz w:val="21"/>
                <w:szCs w:val="21"/>
                <w:highlight w:val="none"/>
                <w:u w:val="none"/>
                <w:shd w:val="clear"/>
                <w:lang w:val="en-US" w:eastAsia="zh-CN" w:bidi="ar-SA"/>
              </w:rPr>
            </w:pPr>
            <w:r>
              <w:rPr>
                <w:rFonts w:hint="default" w:ascii="Times New Roman" w:hAnsi="Times New Roman" w:eastAsia="仿宋_GB2312" w:cs="Times New Roman"/>
                <w:b/>
                <w:bCs/>
                <w:color w:val="auto"/>
                <w:kern w:val="2"/>
                <w:sz w:val="21"/>
                <w:szCs w:val="21"/>
                <w:highlight w:val="none"/>
                <w:u w:val="none"/>
                <w:shd w:val="clear"/>
                <w:lang w:val="en-US" w:eastAsia="zh-CN" w:bidi="ar-SA"/>
              </w:rPr>
              <w:t>绿地率</w:t>
            </w:r>
          </w:p>
        </w:tc>
        <w:tc>
          <w:tcPr>
            <w:tcW w:w="1827" w:type="dxa"/>
            <w:tcBorders>
              <w:top w:val="single" w:color="auto" w:sz="4" w:space="0"/>
              <w:left w:val="single" w:color="auto" w:sz="4" w:space="0"/>
            </w:tcBorders>
            <w:shd w:val="clear" w:color="auto" w:fill="FFFFFF"/>
            <w:vAlign w:val="center"/>
          </w:tcPr>
          <w:p>
            <w:pPr>
              <w:autoSpaceDE w:val="0"/>
              <w:autoSpaceDN w:val="0"/>
              <w:adjustRightInd w:val="0"/>
              <w:spacing w:line="240" w:lineRule="exact"/>
              <w:jc w:val="center"/>
              <w:rPr>
                <w:rFonts w:hint="default" w:ascii="Times New Roman" w:hAnsi="Times New Roman" w:cs="Times New Roman"/>
                <w:lang w:val="en-US" w:eastAsia="zh-CN"/>
              </w:rPr>
            </w:pPr>
            <w:r>
              <w:rPr>
                <w:rFonts w:hint="default" w:ascii="Times New Roman" w:hAnsi="Times New Roman" w:eastAsia="仿宋_GB2312" w:cs="Times New Roman"/>
                <w:b/>
                <w:bCs/>
                <w:color w:val="auto"/>
                <w:kern w:val="2"/>
                <w:sz w:val="21"/>
                <w:szCs w:val="21"/>
                <w:highlight w:val="none"/>
                <w:u w:val="none"/>
                <w:shd w:val="clear"/>
                <w:lang w:val="zh-TW" w:eastAsia="zh-TW" w:bidi="ar-SA"/>
              </w:rPr>
              <w:t>机动车停车位配建要求</w:t>
            </w:r>
          </w:p>
        </w:tc>
        <w:tc>
          <w:tcPr>
            <w:tcW w:w="1023" w:type="dxa"/>
            <w:vMerge w:val="continue"/>
            <w:tcBorders>
              <w:left w:val="single" w:color="auto" w:sz="4" w:space="0"/>
              <w:right w:val="single" w:color="auto" w:sz="4" w:space="0"/>
            </w:tcBorders>
            <w:shd w:val="clear" w:color="auto" w:fill="FFFFFF"/>
            <w:textDirection w:val="tbRlV"/>
            <w:vAlign w:val="center"/>
          </w:tcPr>
          <w:p>
            <w:pPr>
              <w:pStyle w:val="36"/>
              <w:keepNext w:val="0"/>
              <w:keepLines w:val="0"/>
              <w:pageBreakBefore w:val="0"/>
              <w:widowControl w:val="0"/>
              <w:shd w:val="clear" w:color="auto" w:fill="auto"/>
              <w:kinsoku/>
              <w:wordWrap/>
              <w:overflowPunct/>
              <w:topLinePunct w:val="0"/>
              <w:autoSpaceDE/>
              <w:autoSpaceDN/>
              <w:bidi w:val="0"/>
              <w:adjustRightInd/>
              <w:snapToGrid/>
              <w:spacing w:before="340" w:after="0" w:line="240" w:lineRule="auto"/>
              <w:ind w:left="0" w:right="0" w:firstLine="0"/>
              <w:jc w:val="center"/>
              <w:textAlignment w:val="auto"/>
              <w:rPr>
                <w:rFonts w:hint="default" w:ascii="Times New Roman" w:hAnsi="Times New Roman" w:eastAsia="宋体" w:cs="Times New Roman"/>
                <w:lang w:val="en-US" w:eastAsia="zh-CN"/>
              </w:rPr>
            </w:pPr>
          </w:p>
        </w:tc>
        <w:tc>
          <w:tcPr>
            <w:tcW w:w="851" w:type="dxa"/>
            <w:vMerge w:val="continue"/>
            <w:tcBorders>
              <w:left w:val="single" w:color="auto" w:sz="4" w:space="0"/>
              <w:right w:val="single" w:color="auto" w:sz="4" w:space="0"/>
            </w:tcBorders>
            <w:shd w:val="clear" w:color="auto" w:fill="FFFFFF"/>
            <w:textDirection w:val="tbRlV"/>
            <w:vAlign w:val="center"/>
          </w:tcPr>
          <w:p>
            <w:pPr>
              <w:pStyle w:val="36"/>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r>
      <w:tr>
        <w:tblPrEx>
          <w:tblCellMar>
            <w:top w:w="0" w:type="dxa"/>
            <w:left w:w="10" w:type="dxa"/>
            <w:bottom w:w="0" w:type="dxa"/>
            <w:right w:w="10" w:type="dxa"/>
          </w:tblCellMar>
        </w:tblPrEx>
        <w:trPr>
          <w:trHeight w:val="1566" w:hRule="atLeast"/>
          <w:jc w:val="center"/>
        </w:trPr>
        <w:tc>
          <w:tcPr>
            <w:tcW w:w="1113" w:type="dxa"/>
            <w:vMerge w:val="restart"/>
            <w:tcBorders>
              <w:top w:val="single" w:color="auto" w:sz="4" w:space="0"/>
              <w:left w:val="single" w:color="auto" w:sz="4" w:space="0"/>
            </w:tcBorders>
            <w:shd w:val="clear" w:color="auto" w:fill="FFFFFF"/>
            <w:vAlign w:val="center"/>
          </w:tcPr>
          <w:p>
            <w:pPr>
              <w:spacing w:line="300" w:lineRule="exact"/>
              <w:jc w:val="center"/>
              <w:rPr>
                <w:rFonts w:hint="default" w:ascii="Times New Roman" w:hAnsi="Times New Roman" w:eastAsia="仿宋_GB2312" w:cs="Times New Roman"/>
                <w:color w:val="auto"/>
                <w:szCs w:val="21"/>
                <w:highlight w:val="yellow"/>
                <w:u w:val="none"/>
                <w:lang w:val="en-US" w:eastAsia="zh-CN"/>
              </w:rPr>
            </w:pPr>
            <w:r>
              <w:rPr>
                <w:rFonts w:hint="default" w:ascii="Times New Roman" w:hAnsi="Times New Roman" w:eastAsia="仿宋_GB2312" w:cs="Times New Roman"/>
                <w:color w:val="auto"/>
                <w:szCs w:val="21"/>
                <w:highlight w:val="none"/>
                <w:u w:val="none"/>
                <w:lang w:val="en-US" w:eastAsia="zh-CN"/>
              </w:rPr>
              <w:t>GP2022-32</w:t>
            </w:r>
            <w:r>
              <w:rPr>
                <w:rFonts w:hint="default" w:ascii="Times New Roman" w:hAnsi="Times New Roman" w:eastAsia="仿宋_GB2312" w:cs="Times New Roman"/>
                <w:color w:val="FF0000"/>
                <w:szCs w:val="21"/>
                <w:highlight w:val="none"/>
                <w:u w:val="none"/>
                <w:lang w:val="en-US" w:eastAsia="zh-CN"/>
              </w:rPr>
              <w:t xml:space="preserve">  </w:t>
            </w:r>
          </w:p>
        </w:tc>
        <w:tc>
          <w:tcPr>
            <w:tcW w:w="1255" w:type="dxa"/>
            <w:vMerge w:val="restart"/>
            <w:tcBorders>
              <w:top w:val="single" w:color="auto" w:sz="4" w:space="0"/>
              <w:left w:val="single" w:color="auto" w:sz="4" w:space="0"/>
            </w:tcBorders>
            <w:shd w:val="clear" w:color="auto" w:fill="FFFFFF"/>
            <w:vAlign w:val="center"/>
          </w:tcPr>
          <w:p>
            <w:pPr>
              <w:spacing w:line="300" w:lineRule="exact"/>
              <w:jc w:val="center"/>
              <w:rPr>
                <w:rFonts w:hint="default" w:ascii="Times New Roman" w:hAnsi="Times New Roman" w:eastAsia="仿宋_GB2312" w:cs="Times New Roman"/>
                <w:color w:val="auto"/>
                <w:szCs w:val="21"/>
                <w:highlight w:val="none"/>
                <w:u w:val="none"/>
                <w:lang w:val="en-US" w:eastAsia="zh-CN"/>
              </w:rPr>
            </w:pPr>
            <w:r>
              <w:rPr>
                <w:rFonts w:hint="default" w:ascii="Times New Roman" w:hAnsi="Times New Roman" w:eastAsia="仿宋_GB2312" w:cs="Times New Roman"/>
                <w:color w:val="auto"/>
                <w:szCs w:val="21"/>
                <w:highlight w:val="none"/>
                <w:u w:val="none"/>
                <w:lang w:val="en-US" w:eastAsia="zh-CN"/>
              </w:rPr>
              <w:t>惠州市惠城区激流坑片区JLK06-01-05-02、JLK06-01-07地块</w:t>
            </w:r>
          </w:p>
        </w:tc>
        <w:tc>
          <w:tcPr>
            <w:tcW w:w="996" w:type="dxa"/>
            <w:tcBorders>
              <w:top w:val="single" w:color="auto" w:sz="4" w:space="0"/>
              <w:left w:val="single" w:color="auto" w:sz="4" w:space="0"/>
              <w:bottom w:val="single" w:color="auto" w:sz="4" w:space="0"/>
            </w:tcBorders>
            <w:shd w:val="clear" w:color="auto" w:fill="FFFFFF"/>
            <w:vAlign w:val="center"/>
          </w:tcPr>
          <w:p>
            <w:pPr>
              <w:spacing w:line="300" w:lineRule="exact"/>
              <w:jc w:val="center"/>
              <w:rPr>
                <w:rFonts w:hint="default" w:ascii="Times New Roman" w:hAnsi="Times New Roman" w:eastAsia="仿宋_GB2312" w:cs="Times New Roman"/>
                <w:color w:val="auto"/>
                <w:szCs w:val="21"/>
                <w:highlight w:val="none"/>
                <w:u w:val="none"/>
                <w:lang w:val="en-US" w:eastAsia="zh-CN"/>
              </w:rPr>
            </w:pPr>
            <w:r>
              <w:rPr>
                <w:rFonts w:hint="default" w:ascii="Times New Roman" w:hAnsi="Times New Roman" w:eastAsia="仿宋_GB2312" w:cs="Times New Roman"/>
                <w:color w:val="auto"/>
                <w:szCs w:val="21"/>
                <w:highlight w:val="none"/>
                <w:u w:val="none"/>
                <w:lang w:val="en-US" w:eastAsia="zh-CN"/>
              </w:rPr>
              <w:t>JLK06-01-05-02</w:t>
            </w:r>
          </w:p>
        </w:tc>
        <w:tc>
          <w:tcPr>
            <w:tcW w:w="872" w:type="dxa"/>
            <w:vMerge w:val="restart"/>
            <w:tcBorders>
              <w:top w:val="single" w:color="auto" w:sz="4" w:space="0"/>
              <w:left w:val="single" w:color="auto" w:sz="4" w:space="0"/>
            </w:tcBorders>
            <w:shd w:val="clear" w:color="auto" w:fill="FFFFFF"/>
            <w:vAlign w:val="center"/>
          </w:tcPr>
          <w:p>
            <w:pPr>
              <w:spacing w:line="300" w:lineRule="exact"/>
              <w:jc w:val="center"/>
              <w:rPr>
                <w:rFonts w:hint="default" w:ascii="Times New Roman" w:hAnsi="Times New Roman" w:eastAsia="仿宋_GB2312" w:cs="Times New Roman"/>
                <w:color w:val="auto"/>
                <w:szCs w:val="21"/>
                <w:highlight w:val="none"/>
                <w:u w:val="none"/>
                <w:lang w:val="en-US" w:eastAsia="zh-CN"/>
              </w:rPr>
            </w:pPr>
            <w:r>
              <w:rPr>
                <w:rFonts w:hint="default" w:ascii="Times New Roman" w:hAnsi="Times New Roman" w:eastAsia="仿宋_GB2312" w:cs="Times New Roman"/>
                <w:color w:val="auto"/>
                <w:szCs w:val="21"/>
                <w:highlight w:val="none"/>
                <w:u w:val="none"/>
                <w:lang w:val="en-US" w:eastAsia="zh-CN"/>
              </w:rPr>
              <w:t>住宅及商服用地</w:t>
            </w:r>
          </w:p>
        </w:tc>
        <w:tc>
          <w:tcPr>
            <w:tcW w:w="98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hint="default" w:ascii="Times New Roman" w:hAnsi="Times New Roman" w:eastAsia="仿宋_GB2312" w:cs="Times New Roman"/>
                <w:color w:val="auto"/>
                <w:szCs w:val="21"/>
                <w:highlight w:val="none"/>
                <w:u w:val="none"/>
                <w:lang w:val="en-US" w:eastAsia="zh-CN"/>
              </w:rPr>
            </w:pPr>
            <w:r>
              <w:rPr>
                <w:rFonts w:hint="default" w:ascii="Times New Roman" w:hAnsi="Times New Roman" w:eastAsia="仿宋_GB2312" w:cs="Times New Roman"/>
                <w:color w:val="auto"/>
                <w:szCs w:val="21"/>
                <w:highlight w:val="none"/>
                <w:u w:val="none"/>
                <w:lang w:val="en-US" w:eastAsia="zh-CN"/>
              </w:rPr>
              <w:t>8755.58㎡</w:t>
            </w:r>
          </w:p>
        </w:tc>
        <w:tc>
          <w:tcPr>
            <w:tcW w:w="1105"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jc w:val="center"/>
              <w:rPr>
                <w:rFonts w:hint="default" w:ascii="Times New Roman" w:hAnsi="Times New Roman" w:eastAsia="仿宋_GB2312" w:cs="Times New Roman"/>
                <w:color w:val="auto"/>
                <w:szCs w:val="21"/>
                <w:highlight w:val="none"/>
                <w:u w:val="none"/>
                <w:lang w:val="en-US" w:eastAsia="zh-CN"/>
              </w:rPr>
            </w:pPr>
            <w:r>
              <w:rPr>
                <w:rFonts w:hint="default" w:ascii="Times New Roman" w:hAnsi="Times New Roman" w:eastAsia="仿宋_GB2312" w:cs="Times New Roman"/>
                <w:color w:val="auto"/>
                <w:szCs w:val="21"/>
                <w:highlight w:val="none"/>
                <w:u w:val="none"/>
                <w:lang w:val="en-US" w:eastAsia="zh-CN"/>
              </w:rPr>
              <w:t>7056.29㎡</w:t>
            </w:r>
          </w:p>
        </w:tc>
        <w:tc>
          <w:tcPr>
            <w:tcW w:w="927" w:type="dxa"/>
            <w:vMerge w:val="restart"/>
            <w:tcBorders>
              <w:top w:val="single" w:color="auto" w:sz="4" w:space="0"/>
              <w:left w:val="single" w:color="auto" w:sz="4" w:space="0"/>
            </w:tcBorders>
            <w:shd w:val="clear" w:color="auto" w:fill="FFFFFF"/>
            <w:vAlign w:val="center"/>
          </w:tcPr>
          <w:p>
            <w:pPr>
              <w:spacing w:line="300" w:lineRule="exact"/>
              <w:jc w:val="center"/>
              <w:rPr>
                <w:rFonts w:hint="default" w:ascii="Times New Roman" w:hAnsi="Times New Roman" w:eastAsia="仿宋_GB2312" w:cs="Times New Roman"/>
                <w:color w:val="auto"/>
                <w:szCs w:val="21"/>
                <w:highlight w:val="none"/>
                <w:u w:val="none"/>
                <w:lang w:val="en-US" w:eastAsia="zh-CN"/>
              </w:rPr>
            </w:pPr>
            <w:r>
              <w:rPr>
                <w:rFonts w:hint="default" w:ascii="Times New Roman" w:hAnsi="Times New Roman" w:eastAsia="仿宋_GB2312" w:cs="Times New Roman"/>
                <w:color w:val="auto"/>
                <w:szCs w:val="21"/>
                <w:highlight w:val="none"/>
                <w:u w:val="none"/>
                <w:lang w:val="en-US" w:eastAsia="zh-CN"/>
              </w:rPr>
              <w:t>≤30%</w:t>
            </w:r>
          </w:p>
        </w:tc>
        <w:tc>
          <w:tcPr>
            <w:tcW w:w="968" w:type="dxa"/>
            <w:vMerge w:val="restart"/>
            <w:tcBorders>
              <w:top w:val="single" w:color="auto" w:sz="4" w:space="0"/>
              <w:left w:val="single" w:color="auto" w:sz="4" w:space="0"/>
            </w:tcBorders>
            <w:shd w:val="clear" w:color="auto" w:fill="FFFFFF"/>
            <w:vAlign w:val="center"/>
          </w:tcPr>
          <w:p>
            <w:pPr>
              <w:spacing w:line="300" w:lineRule="exact"/>
              <w:jc w:val="center"/>
              <w:rPr>
                <w:rFonts w:hint="default" w:ascii="Times New Roman" w:hAnsi="Times New Roman" w:eastAsia="仿宋_GB2312" w:cs="Times New Roman"/>
                <w:color w:val="auto"/>
                <w:szCs w:val="21"/>
                <w:highlight w:val="none"/>
                <w:u w:val="none"/>
                <w:lang w:val="en-US" w:eastAsia="zh-CN"/>
              </w:rPr>
            </w:pPr>
            <w:r>
              <w:rPr>
                <w:rFonts w:hint="default" w:ascii="Times New Roman" w:hAnsi="Times New Roman" w:eastAsia="仿宋_GB2312" w:cs="Times New Roman"/>
                <w:color w:val="auto"/>
                <w:szCs w:val="21"/>
                <w:highlight w:val="none"/>
                <w:u w:val="none"/>
                <w:lang w:val="en-US" w:eastAsia="zh-CN"/>
              </w:rPr>
              <w:t>≤3.0</w:t>
            </w:r>
          </w:p>
        </w:tc>
        <w:tc>
          <w:tcPr>
            <w:tcW w:w="1909" w:type="dxa"/>
            <w:vMerge w:val="restart"/>
            <w:tcBorders>
              <w:top w:val="single" w:color="auto" w:sz="4" w:space="0"/>
              <w:left w:val="single" w:color="auto" w:sz="4" w:space="0"/>
            </w:tcBorders>
            <w:shd w:val="clear" w:color="auto" w:fill="FFFFFF"/>
            <w:vAlign w:val="center"/>
          </w:tcPr>
          <w:p>
            <w:pPr>
              <w:spacing w:line="300" w:lineRule="exact"/>
              <w:jc w:val="center"/>
              <w:rPr>
                <w:rFonts w:hint="default" w:ascii="Times New Roman" w:hAnsi="Times New Roman" w:eastAsia="仿宋_GB2312" w:cs="Times New Roman"/>
                <w:color w:val="auto"/>
                <w:szCs w:val="21"/>
                <w:highlight w:val="none"/>
                <w:u w:val="none"/>
                <w:lang w:val="en-US" w:eastAsia="zh-CN"/>
              </w:rPr>
            </w:pPr>
            <w:r>
              <w:rPr>
                <w:rFonts w:hint="default" w:ascii="Times New Roman" w:hAnsi="Times New Roman" w:eastAsia="仿宋_GB2312" w:cs="Times New Roman"/>
                <w:color w:val="auto"/>
                <w:szCs w:val="21"/>
                <w:highlight w:val="none"/>
                <w:u w:val="none"/>
                <w:lang w:val="en-US" w:eastAsia="zh-CN"/>
              </w:rPr>
              <w:t>≤92334㎡（其中商业建筑面积的比例≤20%，配套设施建筑面积＞4940㎡）</w:t>
            </w:r>
          </w:p>
        </w:tc>
        <w:tc>
          <w:tcPr>
            <w:tcW w:w="709" w:type="dxa"/>
            <w:vMerge w:val="restart"/>
            <w:tcBorders>
              <w:top w:val="single" w:color="auto" w:sz="4" w:space="0"/>
              <w:left w:val="single" w:color="auto" w:sz="4" w:space="0"/>
            </w:tcBorders>
            <w:shd w:val="clear" w:color="auto" w:fill="FFFFFF"/>
            <w:vAlign w:val="center"/>
          </w:tcPr>
          <w:p>
            <w:pPr>
              <w:spacing w:line="300" w:lineRule="exact"/>
              <w:jc w:val="center"/>
              <w:rPr>
                <w:rFonts w:hint="default" w:ascii="Times New Roman" w:hAnsi="Times New Roman" w:eastAsia="仿宋_GB2312" w:cs="Times New Roman"/>
                <w:color w:val="auto"/>
                <w:szCs w:val="21"/>
                <w:highlight w:val="none"/>
                <w:u w:val="none"/>
                <w:lang w:val="en-US" w:eastAsia="zh-CN"/>
              </w:rPr>
            </w:pPr>
            <w:r>
              <w:rPr>
                <w:rFonts w:hint="default" w:ascii="Times New Roman" w:hAnsi="Times New Roman" w:eastAsia="仿宋_GB2312" w:cs="Times New Roman"/>
                <w:color w:val="auto"/>
                <w:szCs w:val="21"/>
                <w:highlight w:val="none"/>
                <w:u w:val="none"/>
                <w:lang w:val="en-US" w:eastAsia="zh-CN"/>
              </w:rPr>
              <w:t>≥35%</w:t>
            </w:r>
          </w:p>
        </w:tc>
        <w:tc>
          <w:tcPr>
            <w:tcW w:w="1827" w:type="dxa"/>
            <w:vMerge w:val="restart"/>
            <w:tcBorders>
              <w:top w:val="single" w:color="auto" w:sz="4" w:space="0"/>
              <w:left w:val="single" w:color="auto" w:sz="4" w:space="0"/>
            </w:tcBorders>
            <w:shd w:val="clear" w:color="auto" w:fill="FFFFFF"/>
            <w:vAlign w:val="center"/>
          </w:tcPr>
          <w:p>
            <w:pPr>
              <w:spacing w:line="300" w:lineRule="exact"/>
              <w:jc w:val="center"/>
              <w:rPr>
                <w:rFonts w:hint="default" w:ascii="Times New Roman" w:hAnsi="Times New Roman" w:eastAsia="仿宋_GB2312" w:cs="Times New Roman"/>
                <w:color w:val="auto"/>
                <w:szCs w:val="21"/>
                <w:highlight w:val="none"/>
                <w:u w:val="none"/>
                <w:lang w:val="en-US" w:eastAsia="zh-CN"/>
              </w:rPr>
            </w:pPr>
            <w:r>
              <w:rPr>
                <w:rFonts w:hint="default" w:ascii="Times New Roman" w:hAnsi="Times New Roman" w:eastAsia="仿宋_GB2312" w:cs="Times New Roman"/>
                <w:color w:val="auto"/>
                <w:szCs w:val="21"/>
                <w:highlight w:val="none"/>
                <w:u w:val="none"/>
                <w:lang w:val="en-US" w:eastAsia="zh-CN"/>
              </w:rPr>
              <w:t>每100平方米计容积率建筑面积≥1个（详见告知书）</w:t>
            </w:r>
          </w:p>
        </w:tc>
        <w:tc>
          <w:tcPr>
            <w:tcW w:w="1023" w:type="dxa"/>
            <w:vMerge w:val="restart"/>
            <w:tcBorders>
              <w:top w:val="single" w:color="auto" w:sz="4" w:space="0"/>
              <w:left w:val="single" w:color="auto" w:sz="4" w:space="0"/>
              <w:right w:val="single" w:color="auto" w:sz="4" w:space="0"/>
            </w:tcBorders>
            <w:shd w:val="clear" w:color="auto" w:fill="FFFFFF"/>
            <w:vAlign w:val="center"/>
          </w:tcPr>
          <w:p>
            <w:pPr>
              <w:spacing w:line="300" w:lineRule="exact"/>
              <w:jc w:val="center"/>
              <w:rPr>
                <w:rFonts w:hint="default" w:ascii="Times New Roman" w:hAnsi="Times New Roman" w:eastAsia="仿宋_GB2312" w:cs="Times New Roman"/>
                <w:color w:val="auto"/>
                <w:szCs w:val="21"/>
                <w:highlight w:val="none"/>
                <w:u w:val="none"/>
                <w:lang w:val="en-US" w:eastAsia="zh-CN"/>
              </w:rPr>
            </w:pPr>
            <w:r>
              <w:rPr>
                <w:rFonts w:hint="default" w:ascii="Times New Roman" w:hAnsi="Times New Roman" w:eastAsia="仿宋_GB2312" w:cs="Times New Roman"/>
                <w:color w:val="auto"/>
                <w:szCs w:val="21"/>
                <w:highlight w:val="none"/>
                <w:u w:val="none"/>
                <w:lang w:val="en-US" w:eastAsia="zh-CN"/>
              </w:rPr>
              <w:t>住宅、商业服务业及配套设施</w:t>
            </w:r>
          </w:p>
        </w:tc>
        <w:tc>
          <w:tcPr>
            <w:tcW w:w="851" w:type="dxa"/>
            <w:vMerge w:val="restart"/>
            <w:tcBorders>
              <w:top w:val="single" w:color="auto" w:sz="4" w:space="0"/>
              <w:left w:val="single" w:color="auto" w:sz="4" w:space="0"/>
              <w:right w:val="single" w:color="auto" w:sz="4" w:space="0"/>
            </w:tcBorders>
            <w:shd w:val="clear" w:color="auto" w:fill="FFFFFF"/>
            <w:vAlign w:val="center"/>
          </w:tcPr>
          <w:p>
            <w:pPr>
              <w:spacing w:line="300" w:lineRule="exact"/>
              <w:jc w:val="center"/>
              <w:rPr>
                <w:rFonts w:hint="default" w:ascii="Times New Roman" w:hAnsi="Times New Roman" w:eastAsia="仿宋_GB2312" w:cs="Times New Roman"/>
                <w:color w:val="auto"/>
                <w:szCs w:val="21"/>
                <w:highlight w:val="none"/>
                <w:u w:val="none"/>
                <w:lang w:val="en-US" w:eastAsia="zh-CN"/>
              </w:rPr>
            </w:pPr>
            <w:r>
              <w:rPr>
                <w:rFonts w:hint="default" w:ascii="Times New Roman" w:hAnsi="Times New Roman" w:eastAsia="仿宋_GB2312" w:cs="Times New Roman"/>
                <w:color w:val="auto"/>
                <w:szCs w:val="21"/>
                <w:highlight w:val="none"/>
                <w:u w:val="none"/>
                <w:lang w:val="en-US" w:eastAsia="zh-CN"/>
              </w:rPr>
              <w:t>住宅</w:t>
            </w:r>
          </w:p>
          <w:p>
            <w:pPr>
              <w:spacing w:line="300" w:lineRule="exact"/>
              <w:jc w:val="center"/>
              <w:rPr>
                <w:rFonts w:hint="default" w:ascii="Times New Roman" w:hAnsi="Times New Roman" w:eastAsia="仿宋_GB2312" w:cs="Times New Roman"/>
                <w:color w:val="auto"/>
                <w:szCs w:val="21"/>
                <w:highlight w:val="none"/>
                <w:u w:val="none"/>
                <w:lang w:val="en-US" w:eastAsia="zh-CN"/>
              </w:rPr>
            </w:pPr>
            <w:r>
              <w:rPr>
                <w:rFonts w:hint="default" w:ascii="Times New Roman" w:hAnsi="Times New Roman" w:eastAsia="仿宋_GB2312" w:cs="Times New Roman"/>
                <w:color w:val="auto"/>
                <w:szCs w:val="21"/>
                <w:highlight w:val="none"/>
                <w:u w:val="none"/>
                <w:lang w:val="en-US" w:eastAsia="zh-CN"/>
              </w:rPr>
              <w:t>70年</w:t>
            </w:r>
          </w:p>
          <w:p>
            <w:pPr>
              <w:spacing w:line="300" w:lineRule="exact"/>
              <w:jc w:val="center"/>
              <w:rPr>
                <w:rFonts w:hint="default" w:ascii="Times New Roman" w:hAnsi="Times New Roman" w:eastAsia="仿宋_GB2312" w:cs="Times New Roman"/>
                <w:color w:val="auto"/>
                <w:szCs w:val="21"/>
                <w:highlight w:val="none"/>
                <w:u w:val="none"/>
                <w:lang w:val="en-US" w:eastAsia="zh-CN"/>
              </w:rPr>
            </w:pPr>
            <w:r>
              <w:rPr>
                <w:rFonts w:hint="default" w:ascii="Times New Roman" w:hAnsi="Times New Roman" w:eastAsia="仿宋_GB2312" w:cs="Times New Roman"/>
                <w:color w:val="auto"/>
                <w:szCs w:val="21"/>
                <w:highlight w:val="none"/>
                <w:u w:val="none"/>
                <w:lang w:val="en-US" w:eastAsia="zh-CN"/>
              </w:rPr>
              <w:t>商服</w:t>
            </w:r>
          </w:p>
          <w:p>
            <w:pPr>
              <w:spacing w:line="300" w:lineRule="exact"/>
              <w:jc w:val="center"/>
              <w:rPr>
                <w:rFonts w:hint="default" w:ascii="Times New Roman" w:hAnsi="Times New Roman" w:eastAsia="仿宋_GB2312" w:cs="Times New Roman"/>
                <w:color w:val="auto"/>
                <w:szCs w:val="21"/>
                <w:highlight w:val="none"/>
                <w:u w:val="none"/>
                <w:lang w:val="en-US" w:eastAsia="zh-CN"/>
              </w:rPr>
            </w:pPr>
            <w:r>
              <w:rPr>
                <w:rFonts w:hint="default" w:ascii="Times New Roman" w:hAnsi="Times New Roman" w:eastAsia="仿宋_GB2312" w:cs="Times New Roman"/>
                <w:color w:val="auto"/>
                <w:szCs w:val="21"/>
                <w:highlight w:val="none"/>
                <w:u w:val="none"/>
                <w:lang w:val="en-US" w:eastAsia="zh-CN"/>
              </w:rPr>
              <w:t>40年</w:t>
            </w:r>
          </w:p>
        </w:tc>
      </w:tr>
      <w:tr>
        <w:tblPrEx>
          <w:tblCellMar>
            <w:top w:w="0" w:type="dxa"/>
            <w:left w:w="10" w:type="dxa"/>
            <w:bottom w:w="0" w:type="dxa"/>
            <w:right w:w="10" w:type="dxa"/>
          </w:tblCellMar>
        </w:tblPrEx>
        <w:trPr>
          <w:trHeight w:val="1588" w:hRule="atLeast"/>
          <w:jc w:val="center"/>
        </w:trPr>
        <w:tc>
          <w:tcPr>
            <w:tcW w:w="1113" w:type="dxa"/>
            <w:vMerge w:val="continue"/>
            <w:tcBorders>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cs="Times New Roman"/>
              </w:rPr>
            </w:pPr>
          </w:p>
        </w:tc>
        <w:tc>
          <w:tcPr>
            <w:tcW w:w="1255" w:type="dxa"/>
            <w:vMerge w:val="continue"/>
            <w:tcBorders>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cs="Times New Roman"/>
              </w:rPr>
            </w:pPr>
          </w:p>
        </w:tc>
        <w:tc>
          <w:tcPr>
            <w:tcW w:w="996" w:type="dxa"/>
            <w:tcBorders>
              <w:top w:val="single" w:color="auto" w:sz="4" w:space="0"/>
              <w:left w:val="single" w:color="auto" w:sz="4" w:space="0"/>
              <w:bottom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JLK06-01-07</w:t>
            </w:r>
          </w:p>
        </w:tc>
        <w:tc>
          <w:tcPr>
            <w:tcW w:w="872" w:type="dxa"/>
            <w:vMerge w:val="continue"/>
            <w:tcBorders>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tc>
        <w:tc>
          <w:tcPr>
            <w:tcW w:w="9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22023.37</w:t>
            </w:r>
            <w:r>
              <w:rPr>
                <w:rFonts w:hint="default" w:ascii="Times New Roman" w:hAnsi="Times New Roman" w:eastAsia="宋体" w:cs="Times New Roman"/>
                <w:color w:val="000000"/>
                <w:spacing w:val="0"/>
                <w:w w:val="100"/>
                <w:position w:val="0"/>
                <w:sz w:val="22"/>
                <w:szCs w:val="22"/>
                <w:lang w:val="en-US" w:eastAsia="zh-CN"/>
              </w:rPr>
              <w:t>㎡</w:t>
            </w:r>
          </w:p>
        </w:tc>
        <w:tc>
          <w:tcPr>
            <w:tcW w:w="11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16833.68</w:t>
            </w:r>
            <w:r>
              <w:rPr>
                <w:rFonts w:hint="default" w:ascii="Times New Roman" w:hAnsi="Times New Roman" w:eastAsia="宋体" w:cs="Times New Roman"/>
                <w:color w:val="000000"/>
                <w:spacing w:val="0"/>
                <w:w w:val="100"/>
                <w:position w:val="0"/>
                <w:sz w:val="22"/>
                <w:szCs w:val="22"/>
                <w:lang w:val="en-US" w:eastAsia="zh-CN"/>
              </w:rPr>
              <w:t>㎡</w:t>
            </w:r>
          </w:p>
        </w:tc>
        <w:tc>
          <w:tcPr>
            <w:tcW w:w="927" w:type="dxa"/>
            <w:vMerge w:val="continue"/>
            <w:tcBorders>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tc>
        <w:tc>
          <w:tcPr>
            <w:tcW w:w="968" w:type="dxa"/>
            <w:vMerge w:val="continue"/>
            <w:tcBorders>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tc>
        <w:tc>
          <w:tcPr>
            <w:tcW w:w="1909" w:type="dxa"/>
            <w:vMerge w:val="continue"/>
            <w:tcBorders>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tc>
        <w:tc>
          <w:tcPr>
            <w:tcW w:w="709" w:type="dxa"/>
            <w:vMerge w:val="continue"/>
            <w:tcBorders>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tc>
        <w:tc>
          <w:tcPr>
            <w:tcW w:w="1827" w:type="dxa"/>
            <w:vMerge w:val="continue"/>
            <w:tcBorders>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tc>
        <w:tc>
          <w:tcPr>
            <w:tcW w:w="1023" w:type="dxa"/>
            <w:vMerge w:val="continue"/>
            <w:tcBorders>
              <w:left w:val="single" w:color="auto" w:sz="4" w:space="0"/>
              <w:bottom w:val="single" w:color="auto" w:sz="4" w:space="0"/>
              <w:right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tc>
        <w:tc>
          <w:tcPr>
            <w:tcW w:w="851" w:type="dxa"/>
            <w:vMerge w:val="continue"/>
            <w:tcBorders>
              <w:left w:val="single" w:color="auto" w:sz="4" w:space="0"/>
              <w:bottom w:val="single" w:color="auto" w:sz="4" w:space="0"/>
              <w:right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tc>
      </w:tr>
    </w:tbl>
    <w:p>
      <w:pPr>
        <w:pStyle w:val="2"/>
        <w:rPr>
          <w:rFonts w:hint="default" w:ascii="Times New Roman" w:hAnsi="Times New Roman" w:cs="Times New Roman"/>
        </w:rPr>
      </w:pPr>
    </w:p>
    <w:sectPr>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0" w:usb1="00000000" w:usb2="00000000" w:usb3="00000000" w:csb0="00000000" w:csb1="00000000"/>
    <w:embedRegular r:id="rId1" w:fontKey="{8D498DDA-1FD5-45D2-93B0-D3FB6944AE4E}"/>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auto"/>
    <w:pitch w:val="default"/>
    <w:sig w:usb0="A00002BF" w:usb1="184F6CFA" w:usb2="00000012" w:usb3="00000000" w:csb0="00040001" w:csb1="00000000"/>
    <w:embedRegular r:id="rId2" w:fontKey="{27A27C43-1478-4BC7-9AD0-7D92A11C1A97}"/>
  </w:font>
  <w:font w:name="仿宋">
    <w:panose1 w:val="02010609060101010101"/>
    <w:charset w:val="86"/>
    <w:family w:val="auto"/>
    <w:pitch w:val="default"/>
    <w:sig w:usb0="800002BF" w:usb1="38CF7CFA" w:usb2="00000016" w:usb3="00000000" w:csb0="00040001" w:csb1="00000000"/>
    <w:embedRegular r:id="rId3" w:fontKey="{D2D85885-188E-47B9-8A20-A96791D0B67D}"/>
  </w:font>
  <w:font w:name="方正小标宋_GBK">
    <w:panose1 w:val="03000509000000000000"/>
    <w:charset w:val="86"/>
    <w:family w:val="script"/>
    <w:pitch w:val="default"/>
    <w:sig w:usb0="00000000" w:usb1="00000000" w:usb2="00000000" w:usb3="00000000" w:csb0="00000000" w:csb1="00000000"/>
    <w:embedRegular r:id="rId4" w:fontKey="{C34004B8-D511-4285-BC96-C285BBDDBE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1216660</wp:posOffset>
              </wp:positionH>
              <wp:positionV relativeFrom="page">
                <wp:posOffset>10060305</wp:posOffset>
              </wp:positionV>
              <wp:extent cx="420370" cy="82550"/>
              <wp:effectExtent l="0" t="0" r="0" b="0"/>
              <wp:wrapNone/>
              <wp:docPr id="54" name="Shape 54"/>
              <wp:cNvGraphicFramePr/>
              <a:graphic xmlns:a="http://schemas.openxmlformats.org/drawingml/2006/main">
                <a:graphicData uri="http://schemas.microsoft.com/office/word/2010/wordprocessingShape">
                  <wps:wsp>
                    <wps:cNvSpPr txBox="1"/>
                    <wps:spPr>
                      <a:xfrm>
                        <a:off x="0" y="0"/>
                        <a:ext cx="420370" cy="82550"/>
                      </a:xfrm>
                      <a:prstGeom prst="rect">
                        <a:avLst/>
                      </a:prstGeom>
                      <a:noFill/>
                    </wps:spPr>
                    <wps:txbx>
                      <w:txbxContent>
                        <w:p>
                          <w:pPr>
                            <w:pStyle w:val="3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20</w:t>
                          </w:r>
                          <w:r>
                            <w:rPr>
                              <w:rFonts w:ascii="Times New Roman" w:hAnsi="Times New Roman" w:eastAsia="Times New Roman" w:cs="Times New Roman"/>
                              <w:color w:val="000000"/>
                              <w:spacing w:val="0"/>
                              <w:w w:val="100"/>
                              <w:position w:val="0"/>
                              <w:lang w:val="en-US" w:eastAsia="en-US" w:bidi="en-US"/>
                            </w:rPr>
                            <w:t>—</w:t>
                          </w:r>
                        </w:p>
                      </w:txbxContent>
                    </wps:txbx>
                    <wps:bodyPr wrap="none" lIns="0" tIns="0" rIns="0" bIns="0">
                      <a:spAutoFit/>
                    </wps:bodyPr>
                  </wps:wsp>
                </a:graphicData>
              </a:graphic>
            </wp:anchor>
          </w:drawing>
        </mc:Choice>
        <mc:Fallback>
          <w:pict>
            <v:shape id="Shape 54" o:spid="_x0000_s1026" o:spt="202" type="#_x0000_t202" style="position:absolute;left:0pt;margin-left:95.8pt;margin-top:792.15pt;height:6.5pt;width:33.1pt;mso-position-horizontal-relative:page;mso-position-vertical-relative:page;mso-wrap-style:none;z-index:-251657216;mso-width-relative:page;mso-height-relative:page;" filled="f" stroked="f" coordsize="21600,21600" o:gfxdata="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McBtytkAAAANAQAADwAAAAAAAAABACAAAAAiAAAAZHJzL2Rv&#10;d25yZXYueG1sUEsBAhQAFAAAAAgAh07iQElhv8yOAQAAIgMAAA4AAAAAAAAAAQAgAAAAKAEAAGRy&#10;cy9lMm9Eb2MueG1sUEsFBgAAAAAGAAYAWQEAACgFAAAAAA==&#10;">
              <v:fill on="f" focussize="0,0"/>
              <v:stroke on="f"/>
              <v:imagedata o:title=""/>
              <o:lock v:ext="edit" aspectratio="f"/>
              <v:textbox inset="0mm,0mm,0mm,0mm" style="mso-fit-shape-to-text:t;">
                <w:txbxContent>
                  <w:p>
                    <w:pPr>
                      <w:pStyle w:val="3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20</w:t>
                    </w:r>
                    <w:r>
                      <w:rPr>
                        <w:rFonts w:ascii="Times New Roman" w:hAnsi="Times New Roman" w:eastAsia="Times New Roman" w:cs="Times New Roman"/>
                        <w:color w:val="000000"/>
                        <w:spacing w:val="0"/>
                        <w:w w:val="100"/>
                        <w:position w:val="0"/>
                        <w:lang w:val="en-US" w:eastAsia="en-US" w:bidi="en-US"/>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BD82C"/>
    <w:multiLevelType w:val="singleLevel"/>
    <w:tmpl w:val="8B5BD82C"/>
    <w:lvl w:ilvl="0" w:tentative="0">
      <w:start w:val="1"/>
      <w:numFmt w:val="chineseCounting"/>
      <w:suff w:val="nothing"/>
      <w:lvlText w:val="（%1）"/>
      <w:lvlJc w:val="left"/>
      <w:rPr>
        <w:rFonts w:hint="eastAsia"/>
      </w:rPr>
    </w:lvl>
  </w:abstractNum>
  <w:abstractNum w:abstractNumId="1">
    <w:nsid w:val="A6218609"/>
    <w:multiLevelType w:val="singleLevel"/>
    <w:tmpl w:val="A6218609"/>
    <w:lvl w:ilvl="0" w:tentative="0">
      <w:start w:val="1"/>
      <w:numFmt w:val="chineseCounting"/>
      <w:suff w:val="nothing"/>
      <w:lvlText w:val="（%1）"/>
      <w:lvlJc w:val="left"/>
      <w:rPr>
        <w:rFonts w:hint="eastAsia"/>
      </w:rPr>
    </w:lvl>
  </w:abstractNum>
  <w:abstractNum w:abstractNumId="2">
    <w:nsid w:val="DF07AB9F"/>
    <w:multiLevelType w:val="singleLevel"/>
    <w:tmpl w:val="DF07AB9F"/>
    <w:lvl w:ilvl="0" w:tentative="0">
      <w:start w:val="1"/>
      <w:numFmt w:val="chineseCounting"/>
      <w:suff w:val="nothing"/>
      <w:lvlText w:val="（%1）"/>
      <w:lvlJc w:val="left"/>
      <w:rPr>
        <w:rFonts w:hint="eastAsia"/>
      </w:rPr>
    </w:lvl>
  </w:abstractNum>
  <w:abstractNum w:abstractNumId="3">
    <w:nsid w:val="040705BE"/>
    <w:multiLevelType w:val="singleLevel"/>
    <w:tmpl w:val="040705BE"/>
    <w:lvl w:ilvl="0" w:tentative="0">
      <w:start w:val="10"/>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YmVmOTViNjcyMWQ4YmNkNzI5ODI0NTk4MDgxMzAifQ=="/>
  </w:docVars>
  <w:rsids>
    <w:rsidRoot w:val="006F43B4"/>
    <w:rsid w:val="00055381"/>
    <w:rsid w:val="00156890"/>
    <w:rsid w:val="00291F43"/>
    <w:rsid w:val="003846E2"/>
    <w:rsid w:val="003D7B27"/>
    <w:rsid w:val="00502E7E"/>
    <w:rsid w:val="00593588"/>
    <w:rsid w:val="00626965"/>
    <w:rsid w:val="00651A33"/>
    <w:rsid w:val="006F43B4"/>
    <w:rsid w:val="00723053"/>
    <w:rsid w:val="008237B5"/>
    <w:rsid w:val="009D3A41"/>
    <w:rsid w:val="009F2092"/>
    <w:rsid w:val="009F209E"/>
    <w:rsid w:val="00A01903"/>
    <w:rsid w:val="00A26F37"/>
    <w:rsid w:val="00A62B04"/>
    <w:rsid w:val="00A703FF"/>
    <w:rsid w:val="00AB4CB1"/>
    <w:rsid w:val="00AB5656"/>
    <w:rsid w:val="00AE30A8"/>
    <w:rsid w:val="00B4275A"/>
    <w:rsid w:val="00B91373"/>
    <w:rsid w:val="00C31E7B"/>
    <w:rsid w:val="00D304ED"/>
    <w:rsid w:val="00D75C64"/>
    <w:rsid w:val="00E01788"/>
    <w:rsid w:val="00E070AA"/>
    <w:rsid w:val="00E47A66"/>
    <w:rsid w:val="00E80445"/>
    <w:rsid w:val="00EC35A5"/>
    <w:rsid w:val="010E6025"/>
    <w:rsid w:val="012F32FC"/>
    <w:rsid w:val="01587D16"/>
    <w:rsid w:val="01A04759"/>
    <w:rsid w:val="01A836F9"/>
    <w:rsid w:val="023E1725"/>
    <w:rsid w:val="02421D02"/>
    <w:rsid w:val="024F3452"/>
    <w:rsid w:val="02D944DD"/>
    <w:rsid w:val="032B1553"/>
    <w:rsid w:val="038C1DF1"/>
    <w:rsid w:val="039F6E44"/>
    <w:rsid w:val="048A0C4C"/>
    <w:rsid w:val="04AA17FE"/>
    <w:rsid w:val="04D27A43"/>
    <w:rsid w:val="05E32E7C"/>
    <w:rsid w:val="05F54D6D"/>
    <w:rsid w:val="06247E21"/>
    <w:rsid w:val="067362EB"/>
    <w:rsid w:val="068117B6"/>
    <w:rsid w:val="06C26A7A"/>
    <w:rsid w:val="06E13F73"/>
    <w:rsid w:val="075570AE"/>
    <w:rsid w:val="07E4525D"/>
    <w:rsid w:val="08D60EA5"/>
    <w:rsid w:val="09402008"/>
    <w:rsid w:val="09B315DE"/>
    <w:rsid w:val="09B547AB"/>
    <w:rsid w:val="09EE122C"/>
    <w:rsid w:val="0A1E2AE2"/>
    <w:rsid w:val="0AAA4E9F"/>
    <w:rsid w:val="0AE134F5"/>
    <w:rsid w:val="0AE876EE"/>
    <w:rsid w:val="0B3C33E2"/>
    <w:rsid w:val="0B782843"/>
    <w:rsid w:val="0C7472F1"/>
    <w:rsid w:val="0CAD1C6D"/>
    <w:rsid w:val="0CE4226E"/>
    <w:rsid w:val="0DAE7B73"/>
    <w:rsid w:val="0DD737A7"/>
    <w:rsid w:val="0DFD55A7"/>
    <w:rsid w:val="0E156E70"/>
    <w:rsid w:val="0E1D2DC4"/>
    <w:rsid w:val="0E2071F3"/>
    <w:rsid w:val="0E2C2AB5"/>
    <w:rsid w:val="0E4D7DC4"/>
    <w:rsid w:val="0E552A43"/>
    <w:rsid w:val="0E691595"/>
    <w:rsid w:val="0E761E24"/>
    <w:rsid w:val="0E970C12"/>
    <w:rsid w:val="0EC548DF"/>
    <w:rsid w:val="101713C8"/>
    <w:rsid w:val="102713DB"/>
    <w:rsid w:val="10687CF5"/>
    <w:rsid w:val="10796E30"/>
    <w:rsid w:val="10871E8E"/>
    <w:rsid w:val="10B86C1D"/>
    <w:rsid w:val="10D917CA"/>
    <w:rsid w:val="11031B8B"/>
    <w:rsid w:val="110903F6"/>
    <w:rsid w:val="11456B59"/>
    <w:rsid w:val="11871C18"/>
    <w:rsid w:val="11A71763"/>
    <w:rsid w:val="11AE5AAA"/>
    <w:rsid w:val="122430A9"/>
    <w:rsid w:val="12582EBE"/>
    <w:rsid w:val="12957422"/>
    <w:rsid w:val="12C92A41"/>
    <w:rsid w:val="12FD7D69"/>
    <w:rsid w:val="13055F11"/>
    <w:rsid w:val="13D04CD7"/>
    <w:rsid w:val="13DC2CB8"/>
    <w:rsid w:val="14221D35"/>
    <w:rsid w:val="142B1DB1"/>
    <w:rsid w:val="15173084"/>
    <w:rsid w:val="1582435D"/>
    <w:rsid w:val="15C97374"/>
    <w:rsid w:val="16451891"/>
    <w:rsid w:val="16586BE9"/>
    <w:rsid w:val="166F2BF1"/>
    <w:rsid w:val="171E6442"/>
    <w:rsid w:val="1742267B"/>
    <w:rsid w:val="17874DAF"/>
    <w:rsid w:val="1794192C"/>
    <w:rsid w:val="17A4202A"/>
    <w:rsid w:val="17EA1735"/>
    <w:rsid w:val="17EC7944"/>
    <w:rsid w:val="17FC1602"/>
    <w:rsid w:val="18613BC1"/>
    <w:rsid w:val="186E24D6"/>
    <w:rsid w:val="187E669C"/>
    <w:rsid w:val="18C92B9F"/>
    <w:rsid w:val="18D217BE"/>
    <w:rsid w:val="18F7132C"/>
    <w:rsid w:val="19267A1B"/>
    <w:rsid w:val="198C55A6"/>
    <w:rsid w:val="19CD3D1D"/>
    <w:rsid w:val="1A1838ED"/>
    <w:rsid w:val="1A31098E"/>
    <w:rsid w:val="1A511BE3"/>
    <w:rsid w:val="1A9A558C"/>
    <w:rsid w:val="1AFA71C6"/>
    <w:rsid w:val="1B1E785A"/>
    <w:rsid w:val="1B261919"/>
    <w:rsid w:val="1B2A00D1"/>
    <w:rsid w:val="1B7347F4"/>
    <w:rsid w:val="1BB23779"/>
    <w:rsid w:val="1BE73F47"/>
    <w:rsid w:val="1C024584"/>
    <w:rsid w:val="1C8F4B89"/>
    <w:rsid w:val="1C9A1178"/>
    <w:rsid w:val="1D064DF7"/>
    <w:rsid w:val="1D097D20"/>
    <w:rsid w:val="1D242B10"/>
    <w:rsid w:val="1D4D39AE"/>
    <w:rsid w:val="1D5C4003"/>
    <w:rsid w:val="1D6F464E"/>
    <w:rsid w:val="1D9E5A0C"/>
    <w:rsid w:val="1D9F5CDA"/>
    <w:rsid w:val="1E095370"/>
    <w:rsid w:val="1E904230"/>
    <w:rsid w:val="1EA56328"/>
    <w:rsid w:val="1FB504FE"/>
    <w:rsid w:val="1FE77AEB"/>
    <w:rsid w:val="1FFA383F"/>
    <w:rsid w:val="20081950"/>
    <w:rsid w:val="20671C22"/>
    <w:rsid w:val="207F541D"/>
    <w:rsid w:val="20851B07"/>
    <w:rsid w:val="20990B2A"/>
    <w:rsid w:val="20AB6596"/>
    <w:rsid w:val="20FB3E37"/>
    <w:rsid w:val="21264E5A"/>
    <w:rsid w:val="224E20DB"/>
    <w:rsid w:val="22845047"/>
    <w:rsid w:val="22937891"/>
    <w:rsid w:val="229D5685"/>
    <w:rsid w:val="22D05BCD"/>
    <w:rsid w:val="23532358"/>
    <w:rsid w:val="23703D7C"/>
    <w:rsid w:val="237161ED"/>
    <w:rsid w:val="23B47AA8"/>
    <w:rsid w:val="23E448D4"/>
    <w:rsid w:val="24610AB5"/>
    <w:rsid w:val="24A80447"/>
    <w:rsid w:val="24C5659C"/>
    <w:rsid w:val="250733D2"/>
    <w:rsid w:val="250E39D7"/>
    <w:rsid w:val="268412E8"/>
    <w:rsid w:val="26D81FCD"/>
    <w:rsid w:val="27452191"/>
    <w:rsid w:val="27BC0E8D"/>
    <w:rsid w:val="28020BBF"/>
    <w:rsid w:val="285B64DE"/>
    <w:rsid w:val="288E613F"/>
    <w:rsid w:val="288F3A27"/>
    <w:rsid w:val="28951D46"/>
    <w:rsid w:val="29721939"/>
    <w:rsid w:val="29E1316E"/>
    <w:rsid w:val="29F80FE7"/>
    <w:rsid w:val="2A492717"/>
    <w:rsid w:val="2A8D1AA1"/>
    <w:rsid w:val="2AC93E57"/>
    <w:rsid w:val="2AE47609"/>
    <w:rsid w:val="2AE95DB3"/>
    <w:rsid w:val="2B786E5A"/>
    <w:rsid w:val="2BE7051D"/>
    <w:rsid w:val="2C3B3035"/>
    <w:rsid w:val="2C4B24F8"/>
    <w:rsid w:val="2C8452BD"/>
    <w:rsid w:val="2C882001"/>
    <w:rsid w:val="2CB00876"/>
    <w:rsid w:val="2CD35376"/>
    <w:rsid w:val="2D4168DD"/>
    <w:rsid w:val="2D930E3D"/>
    <w:rsid w:val="2E134FFF"/>
    <w:rsid w:val="2EAC2783"/>
    <w:rsid w:val="2EDA6C9B"/>
    <w:rsid w:val="2F220213"/>
    <w:rsid w:val="2F442A87"/>
    <w:rsid w:val="2F6C6D41"/>
    <w:rsid w:val="2FE853E7"/>
    <w:rsid w:val="2FF53957"/>
    <w:rsid w:val="2FF85F65"/>
    <w:rsid w:val="303845C1"/>
    <w:rsid w:val="306E2102"/>
    <w:rsid w:val="30731155"/>
    <w:rsid w:val="30F82569"/>
    <w:rsid w:val="31575D41"/>
    <w:rsid w:val="31885CBB"/>
    <w:rsid w:val="318C005A"/>
    <w:rsid w:val="31B372D4"/>
    <w:rsid w:val="31D86DCF"/>
    <w:rsid w:val="31EB11BF"/>
    <w:rsid w:val="32083D0C"/>
    <w:rsid w:val="32150B1E"/>
    <w:rsid w:val="33317857"/>
    <w:rsid w:val="334277A5"/>
    <w:rsid w:val="337563F9"/>
    <w:rsid w:val="33EF661F"/>
    <w:rsid w:val="34013B56"/>
    <w:rsid w:val="342019D5"/>
    <w:rsid w:val="346C251E"/>
    <w:rsid w:val="34AB1BAC"/>
    <w:rsid w:val="352E5A05"/>
    <w:rsid w:val="358D16EC"/>
    <w:rsid w:val="35A767A8"/>
    <w:rsid w:val="35CC1B7F"/>
    <w:rsid w:val="36237854"/>
    <w:rsid w:val="36487787"/>
    <w:rsid w:val="36B32239"/>
    <w:rsid w:val="36B55453"/>
    <w:rsid w:val="36B610CD"/>
    <w:rsid w:val="373F3F75"/>
    <w:rsid w:val="37721A4B"/>
    <w:rsid w:val="37723635"/>
    <w:rsid w:val="380F19DC"/>
    <w:rsid w:val="383718CB"/>
    <w:rsid w:val="386A7C63"/>
    <w:rsid w:val="388A6997"/>
    <w:rsid w:val="38AF57A2"/>
    <w:rsid w:val="38CA6196"/>
    <w:rsid w:val="38DC1ADB"/>
    <w:rsid w:val="38F15DFA"/>
    <w:rsid w:val="38FC729A"/>
    <w:rsid w:val="39320FFB"/>
    <w:rsid w:val="39463E38"/>
    <w:rsid w:val="39E9024F"/>
    <w:rsid w:val="39FA4D33"/>
    <w:rsid w:val="3A3711CB"/>
    <w:rsid w:val="3A5C1D13"/>
    <w:rsid w:val="3A5C1E5A"/>
    <w:rsid w:val="3A9B67B2"/>
    <w:rsid w:val="3AD66858"/>
    <w:rsid w:val="3B221787"/>
    <w:rsid w:val="3B34068A"/>
    <w:rsid w:val="3B9610F4"/>
    <w:rsid w:val="3BB71C2D"/>
    <w:rsid w:val="3BD61A36"/>
    <w:rsid w:val="3BF67651"/>
    <w:rsid w:val="3C0318E0"/>
    <w:rsid w:val="3C7D1AA0"/>
    <w:rsid w:val="3CFF4A4C"/>
    <w:rsid w:val="3D152C6B"/>
    <w:rsid w:val="3DB611C5"/>
    <w:rsid w:val="3E741032"/>
    <w:rsid w:val="3E7B06C6"/>
    <w:rsid w:val="3E7F648D"/>
    <w:rsid w:val="3E844C32"/>
    <w:rsid w:val="3EBE4111"/>
    <w:rsid w:val="3EC318D5"/>
    <w:rsid w:val="3F142B57"/>
    <w:rsid w:val="3F1A7FAA"/>
    <w:rsid w:val="3F3E0AB4"/>
    <w:rsid w:val="3F984213"/>
    <w:rsid w:val="3FA952A0"/>
    <w:rsid w:val="3FC93E3E"/>
    <w:rsid w:val="3FCC330C"/>
    <w:rsid w:val="402B776A"/>
    <w:rsid w:val="406B30D4"/>
    <w:rsid w:val="40A30DAA"/>
    <w:rsid w:val="40F46A11"/>
    <w:rsid w:val="41572450"/>
    <w:rsid w:val="41777BB2"/>
    <w:rsid w:val="4186034B"/>
    <w:rsid w:val="418F6974"/>
    <w:rsid w:val="42712E83"/>
    <w:rsid w:val="428E2D29"/>
    <w:rsid w:val="429C7B55"/>
    <w:rsid w:val="43342476"/>
    <w:rsid w:val="433E3A34"/>
    <w:rsid w:val="43621D5E"/>
    <w:rsid w:val="43D3409E"/>
    <w:rsid w:val="43D91C59"/>
    <w:rsid w:val="445617D3"/>
    <w:rsid w:val="447957F2"/>
    <w:rsid w:val="44A86E9A"/>
    <w:rsid w:val="45176E5E"/>
    <w:rsid w:val="45644397"/>
    <w:rsid w:val="45696BDB"/>
    <w:rsid w:val="465B0945"/>
    <w:rsid w:val="46B00671"/>
    <w:rsid w:val="46C925E7"/>
    <w:rsid w:val="46CF30CF"/>
    <w:rsid w:val="46F3537A"/>
    <w:rsid w:val="46FF2A91"/>
    <w:rsid w:val="47112BE0"/>
    <w:rsid w:val="47512873"/>
    <w:rsid w:val="47C2216E"/>
    <w:rsid w:val="480F1ECA"/>
    <w:rsid w:val="48114111"/>
    <w:rsid w:val="48526CD7"/>
    <w:rsid w:val="485F7432"/>
    <w:rsid w:val="486B4F45"/>
    <w:rsid w:val="48841BE5"/>
    <w:rsid w:val="488A3AE1"/>
    <w:rsid w:val="48AA6498"/>
    <w:rsid w:val="48AD19E8"/>
    <w:rsid w:val="48BA7DF9"/>
    <w:rsid w:val="48E51899"/>
    <w:rsid w:val="49956A4F"/>
    <w:rsid w:val="4A4812FE"/>
    <w:rsid w:val="4A730934"/>
    <w:rsid w:val="4B1977A0"/>
    <w:rsid w:val="4B4F18E5"/>
    <w:rsid w:val="4B8E2BB5"/>
    <w:rsid w:val="4B995B07"/>
    <w:rsid w:val="4BCA492F"/>
    <w:rsid w:val="4BDA7851"/>
    <w:rsid w:val="4BDD0C15"/>
    <w:rsid w:val="4C112A28"/>
    <w:rsid w:val="4C367EE2"/>
    <w:rsid w:val="4C3E0A00"/>
    <w:rsid w:val="4C8F2B04"/>
    <w:rsid w:val="4C9C397D"/>
    <w:rsid w:val="4CA65793"/>
    <w:rsid w:val="4D441C8B"/>
    <w:rsid w:val="4D446E15"/>
    <w:rsid w:val="4D8A139E"/>
    <w:rsid w:val="4DFB59B1"/>
    <w:rsid w:val="4E106724"/>
    <w:rsid w:val="4E5B22DE"/>
    <w:rsid w:val="4E660826"/>
    <w:rsid w:val="4E843E20"/>
    <w:rsid w:val="4EB0159A"/>
    <w:rsid w:val="4F021AA9"/>
    <w:rsid w:val="4F0A5043"/>
    <w:rsid w:val="4F42590E"/>
    <w:rsid w:val="4F94106E"/>
    <w:rsid w:val="4FB870F0"/>
    <w:rsid w:val="4FE00A82"/>
    <w:rsid w:val="5025101F"/>
    <w:rsid w:val="508C5CA4"/>
    <w:rsid w:val="511901B3"/>
    <w:rsid w:val="52146C75"/>
    <w:rsid w:val="523577B2"/>
    <w:rsid w:val="52400BAA"/>
    <w:rsid w:val="52504441"/>
    <w:rsid w:val="52E1705F"/>
    <w:rsid w:val="52EC3EDC"/>
    <w:rsid w:val="52FE0D61"/>
    <w:rsid w:val="53151498"/>
    <w:rsid w:val="5316652D"/>
    <w:rsid w:val="53B134B9"/>
    <w:rsid w:val="53BD4A78"/>
    <w:rsid w:val="53D85335"/>
    <w:rsid w:val="53E125BE"/>
    <w:rsid w:val="541235D8"/>
    <w:rsid w:val="54CA1AED"/>
    <w:rsid w:val="55146BE0"/>
    <w:rsid w:val="55252947"/>
    <w:rsid w:val="5544476F"/>
    <w:rsid w:val="555E1E30"/>
    <w:rsid w:val="55A354FC"/>
    <w:rsid w:val="55BA0F7E"/>
    <w:rsid w:val="563411DE"/>
    <w:rsid w:val="56585206"/>
    <w:rsid w:val="573D0259"/>
    <w:rsid w:val="57874BC1"/>
    <w:rsid w:val="578A33CF"/>
    <w:rsid w:val="57FA6FE9"/>
    <w:rsid w:val="5807448D"/>
    <w:rsid w:val="581255D7"/>
    <w:rsid w:val="582012C9"/>
    <w:rsid w:val="582C6E15"/>
    <w:rsid w:val="587648D0"/>
    <w:rsid w:val="58A50EA8"/>
    <w:rsid w:val="58D008AE"/>
    <w:rsid w:val="58D278EC"/>
    <w:rsid w:val="58EA62B6"/>
    <w:rsid w:val="596F60AE"/>
    <w:rsid w:val="59B92E76"/>
    <w:rsid w:val="5A03106A"/>
    <w:rsid w:val="5A4F141A"/>
    <w:rsid w:val="5A9E0341"/>
    <w:rsid w:val="5B2F1EEB"/>
    <w:rsid w:val="5B302BC9"/>
    <w:rsid w:val="5B5E4EEB"/>
    <w:rsid w:val="5B745643"/>
    <w:rsid w:val="5C263CAD"/>
    <w:rsid w:val="5C4B2E5B"/>
    <w:rsid w:val="5C8578BA"/>
    <w:rsid w:val="5D027E7E"/>
    <w:rsid w:val="5D2B48B4"/>
    <w:rsid w:val="5D844F05"/>
    <w:rsid w:val="5E70388B"/>
    <w:rsid w:val="5EC178AD"/>
    <w:rsid w:val="5ED83037"/>
    <w:rsid w:val="5EF9328B"/>
    <w:rsid w:val="5F070F9B"/>
    <w:rsid w:val="5F220DF6"/>
    <w:rsid w:val="5F300F59"/>
    <w:rsid w:val="5F356E47"/>
    <w:rsid w:val="5FAE3AB2"/>
    <w:rsid w:val="5FCF5D35"/>
    <w:rsid w:val="60B91507"/>
    <w:rsid w:val="60D33ED8"/>
    <w:rsid w:val="616B0C9C"/>
    <w:rsid w:val="616C1575"/>
    <w:rsid w:val="621356A8"/>
    <w:rsid w:val="62215171"/>
    <w:rsid w:val="624B097D"/>
    <w:rsid w:val="62844F25"/>
    <w:rsid w:val="62C06BAA"/>
    <w:rsid w:val="63D6165B"/>
    <w:rsid w:val="64031DD3"/>
    <w:rsid w:val="64084C3D"/>
    <w:rsid w:val="645475E2"/>
    <w:rsid w:val="6455010A"/>
    <w:rsid w:val="64C957CC"/>
    <w:rsid w:val="64E91D1B"/>
    <w:rsid w:val="65A83CC5"/>
    <w:rsid w:val="65CC5CF4"/>
    <w:rsid w:val="65E92BE6"/>
    <w:rsid w:val="669354B5"/>
    <w:rsid w:val="66B037DC"/>
    <w:rsid w:val="671125BE"/>
    <w:rsid w:val="6732696D"/>
    <w:rsid w:val="67397F81"/>
    <w:rsid w:val="67451D63"/>
    <w:rsid w:val="678C30B6"/>
    <w:rsid w:val="67E26E3A"/>
    <w:rsid w:val="67E9034C"/>
    <w:rsid w:val="68332B3B"/>
    <w:rsid w:val="683F3018"/>
    <w:rsid w:val="684466E8"/>
    <w:rsid w:val="684568B6"/>
    <w:rsid w:val="685B3667"/>
    <w:rsid w:val="68BD0B09"/>
    <w:rsid w:val="68CD7763"/>
    <w:rsid w:val="68EF79ED"/>
    <w:rsid w:val="68F57855"/>
    <w:rsid w:val="69113034"/>
    <w:rsid w:val="69D07B34"/>
    <w:rsid w:val="69E14465"/>
    <w:rsid w:val="6A226A53"/>
    <w:rsid w:val="6A231718"/>
    <w:rsid w:val="6A310DD3"/>
    <w:rsid w:val="6A4F4329"/>
    <w:rsid w:val="6AAF66D6"/>
    <w:rsid w:val="6AC67BD3"/>
    <w:rsid w:val="6AF12B3E"/>
    <w:rsid w:val="6B264B6E"/>
    <w:rsid w:val="6BD924EC"/>
    <w:rsid w:val="6C826573"/>
    <w:rsid w:val="6C8919B8"/>
    <w:rsid w:val="6C9D1375"/>
    <w:rsid w:val="6CE76051"/>
    <w:rsid w:val="6DCF61FF"/>
    <w:rsid w:val="6E3755C1"/>
    <w:rsid w:val="6E640DD3"/>
    <w:rsid w:val="6E64260C"/>
    <w:rsid w:val="6E914841"/>
    <w:rsid w:val="6EB1052D"/>
    <w:rsid w:val="6EC317CE"/>
    <w:rsid w:val="6F4E6508"/>
    <w:rsid w:val="6F4F2037"/>
    <w:rsid w:val="6FA608C2"/>
    <w:rsid w:val="701F7E35"/>
    <w:rsid w:val="704C3A50"/>
    <w:rsid w:val="70965651"/>
    <w:rsid w:val="70A14AF9"/>
    <w:rsid w:val="70A560EF"/>
    <w:rsid w:val="70AB4782"/>
    <w:rsid w:val="71576811"/>
    <w:rsid w:val="7165235D"/>
    <w:rsid w:val="716F460A"/>
    <w:rsid w:val="71BD016F"/>
    <w:rsid w:val="71CF0BED"/>
    <w:rsid w:val="71D66846"/>
    <w:rsid w:val="71E54E4B"/>
    <w:rsid w:val="723C3332"/>
    <w:rsid w:val="7252271D"/>
    <w:rsid w:val="726873F0"/>
    <w:rsid w:val="727B46BA"/>
    <w:rsid w:val="729D59B3"/>
    <w:rsid w:val="72C028AF"/>
    <w:rsid w:val="7313238C"/>
    <w:rsid w:val="731759FD"/>
    <w:rsid w:val="732E2655"/>
    <w:rsid w:val="734164C7"/>
    <w:rsid w:val="735A62E0"/>
    <w:rsid w:val="74611F35"/>
    <w:rsid w:val="74645702"/>
    <w:rsid w:val="746E7275"/>
    <w:rsid w:val="74D80B53"/>
    <w:rsid w:val="751A7E63"/>
    <w:rsid w:val="75400B60"/>
    <w:rsid w:val="754A20F0"/>
    <w:rsid w:val="7558335C"/>
    <w:rsid w:val="756562E8"/>
    <w:rsid w:val="76406DC8"/>
    <w:rsid w:val="76AC6A44"/>
    <w:rsid w:val="76B040EE"/>
    <w:rsid w:val="76DB3663"/>
    <w:rsid w:val="778B6418"/>
    <w:rsid w:val="779A0D22"/>
    <w:rsid w:val="7872306D"/>
    <w:rsid w:val="78AB2481"/>
    <w:rsid w:val="78C863CB"/>
    <w:rsid w:val="792B6181"/>
    <w:rsid w:val="79F43DA8"/>
    <w:rsid w:val="7A3B2D26"/>
    <w:rsid w:val="7A404208"/>
    <w:rsid w:val="7A436452"/>
    <w:rsid w:val="7A6A3136"/>
    <w:rsid w:val="7A9439F5"/>
    <w:rsid w:val="7AFD1570"/>
    <w:rsid w:val="7B134572"/>
    <w:rsid w:val="7B4B064C"/>
    <w:rsid w:val="7B6E62FB"/>
    <w:rsid w:val="7C187EC4"/>
    <w:rsid w:val="7C3507CF"/>
    <w:rsid w:val="7CDB5FF9"/>
    <w:rsid w:val="7CEC0651"/>
    <w:rsid w:val="7D4A7AE5"/>
    <w:rsid w:val="7D586692"/>
    <w:rsid w:val="7D810E5F"/>
    <w:rsid w:val="7D84768B"/>
    <w:rsid w:val="7DD86538"/>
    <w:rsid w:val="7E0D600E"/>
    <w:rsid w:val="7E2C0DEA"/>
    <w:rsid w:val="7E2D0B3F"/>
    <w:rsid w:val="7E341C7F"/>
    <w:rsid w:val="7E8B6D03"/>
    <w:rsid w:val="7FC25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style>
  <w:style w:type="paragraph" w:styleId="4">
    <w:name w:val="annotation text"/>
    <w:basedOn w:val="1"/>
    <w:semiHidden/>
    <w:unhideWhenUsed/>
    <w:qFormat/>
    <w:uiPriority w:val="99"/>
    <w:pPr>
      <w:jc w:val="left"/>
    </w:pPr>
  </w:style>
  <w:style w:type="paragraph" w:styleId="5">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character" w:styleId="11">
    <w:name w:val="Strong"/>
    <w:basedOn w:val="10"/>
    <w:qFormat/>
    <w:uiPriority w:val="22"/>
    <w:rPr>
      <w:b/>
    </w:rPr>
  </w:style>
  <w:style w:type="character" w:styleId="12">
    <w:name w:val="page number"/>
    <w:basedOn w:val="10"/>
    <w:qFormat/>
    <w:uiPriority w:val="0"/>
  </w:style>
  <w:style w:type="character" w:styleId="13">
    <w:name w:val="FollowedHyperlink"/>
    <w:basedOn w:val="10"/>
    <w:semiHidden/>
    <w:unhideWhenUsed/>
    <w:qFormat/>
    <w:uiPriority w:val="99"/>
    <w:rPr>
      <w:color w:val="337AB7"/>
      <w:u w:val="none"/>
    </w:rPr>
  </w:style>
  <w:style w:type="character" w:styleId="14">
    <w:name w:val="HTML Definition"/>
    <w:basedOn w:val="10"/>
    <w:semiHidden/>
    <w:unhideWhenUsed/>
    <w:qFormat/>
    <w:uiPriority w:val="99"/>
    <w:rPr>
      <w:i/>
    </w:rPr>
  </w:style>
  <w:style w:type="character" w:styleId="15">
    <w:name w:val="Hyperlink"/>
    <w:basedOn w:val="10"/>
    <w:semiHidden/>
    <w:unhideWhenUsed/>
    <w:qFormat/>
    <w:uiPriority w:val="99"/>
    <w:rPr>
      <w:color w:val="337AB7"/>
      <w:u w:val="none"/>
    </w:rPr>
  </w:style>
  <w:style w:type="character" w:styleId="16">
    <w:name w:val="HTML Code"/>
    <w:basedOn w:val="10"/>
    <w:unhideWhenUsed/>
    <w:qFormat/>
    <w:uiPriority w:val="99"/>
    <w:rPr>
      <w:rFonts w:ascii="Consolas" w:hAnsi="Consolas" w:eastAsia="Consolas" w:cs="Consolas"/>
      <w:color w:val="C7254E"/>
      <w:sz w:val="21"/>
      <w:szCs w:val="21"/>
      <w:shd w:val="clear" w:fill="F9F2F4"/>
    </w:rPr>
  </w:style>
  <w:style w:type="character" w:styleId="17">
    <w:name w:val="HTML Keyboard"/>
    <w:basedOn w:val="10"/>
    <w:semiHidden/>
    <w:unhideWhenUsed/>
    <w:qFormat/>
    <w:uiPriority w:val="99"/>
    <w:rPr>
      <w:rFonts w:hint="default" w:ascii="Consolas" w:hAnsi="Consolas" w:eastAsia="Consolas" w:cs="Consolas"/>
      <w:color w:val="FFFFFF"/>
      <w:sz w:val="21"/>
      <w:szCs w:val="21"/>
      <w:shd w:val="clear" w:fill="333333"/>
    </w:rPr>
  </w:style>
  <w:style w:type="character" w:styleId="18">
    <w:name w:val="HTML Sample"/>
    <w:basedOn w:val="10"/>
    <w:semiHidden/>
    <w:unhideWhenUsed/>
    <w:qFormat/>
    <w:uiPriority w:val="99"/>
    <w:rPr>
      <w:rFonts w:hint="default" w:ascii="Consolas" w:hAnsi="Consolas" w:eastAsia="Consolas" w:cs="Consolas"/>
      <w:sz w:val="21"/>
      <w:szCs w:val="21"/>
    </w:rPr>
  </w:style>
  <w:style w:type="paragraph" w:customStyle="1" w:styleId="19">
    <w:name w:val="_Style 1"/>
    <w:basedOn w:val="20"/>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20">
    <w:name w:val="正文 New New New New New New New New New New New New New New New New New New New New New New New New New New New New New New New"/>
    <w:next w:val="19"/>
    <w:qFormat/>
    <w:uiPriority w:val="0"/>
    <w:pPr>
      <w:widowControl w:val="0"/>
      <w:jc w:val="both"/>
    </w:pPr>
    <w:rPr>
      <w:rFonts w:ascii="Calibri" w:hAnsi="Calibri" w:eastAsia="宋体" w:cs="黑体"/>
      <w:kern w:val="2"/>
      <w:sz w:val="21"/>
      <w:szCs w:val="22"/>
      <w:lang w:val="en-US" w:eastAsia="zh-CN" w:bidi="ar-SA"/>
    </w:rPr>
  </w:style>
  <w:style w:type="paragraph" w:customStyle="1" w:styleId="21">
    <w:name w:val="批注文字 New New"/>
    <w:basedOn w:val="1"/>
    <w:qFormat/>
    <w:uiPriority w:val="0"/>
    <w:pPr>
      <w:jc w:val="left"/>
    </w:pPr>
    <w:rPr>
      <w:szCs w:val="20"/>
    </w:rPr>
  </w:style>
  <w:style w:type="character" w:customStyle="1" w:styleId="22">
    <w:name w:val="页眉 Char"/>
    <w:basedOn w:val="10"/>
    <w:link w:val="7"/>
    <w:semiHidden/>
    <w:qFormat/>
    <w:uiPriority w:val="99"/>
    <w:rPr>
      <w:rFonts w:ascii="Times New Roman" w:hAnsi="Times New Roman" w:eastAsia="宋体" w:cs="Times New Roman"/>
      <w:sz w:val="18"/>
      <w:szCs w:val="18"/>
    </w:rPr>
  </w:style>
  <w:style w:type="character" w:customStyle="1" w:styleId="23">
    <w:name w:val="页脚 Char"/>
    <w:basedOn w:val="10"/>
    <w:link w:val="6"/>
    <w:qFormat/>
    <w:uiPriority w:val="99"/>
    <w:rPr>
      <w:rFonts w:ascii="Times New Roman" w:hAnsi="Times New Roman" w:eastAsia="宋体" w:cs="Times New Roman"/>
      <w:sz w:val="18"/>
      <w:szCs w:val="18"/>
    </w:rPr>
  </w:style>
  <w:style w:type="paragraph" w:customStyle="1" w:styleId="24">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actspan"/>
    <w:basedOn w:val="10"/>
    <w:qFormat/>
    <w:uiPriority w:val="0"/>
  </w:style>
  <w:style w:type="character" w:customStyle="1" w:styleId="27">
    <w:name w:val="layui-layer-tabnow"/>
    <w:basedOn w:val="10"/>
    <w:qFormat/>
    <w:uiPriority w:val="0"/>
    <w:rPr>
      <w:bdr w:val="single" w:color="CCCCCC" w:sz="6" w:space="0"/>
      <w:shd w:val="clear" w:fill="FFFFFF"/>
    </w:rPr>
  </w:style>
  <w:style w:type="character" w:customStyle="1" w:styleId="28">
    <w:name w:val="first-child"/>
    <w:basedOn w:val="10"/>
    <w:qFormat/>
    <w:uiPriority w:val="0"/>
  </w:style>
  <w:style w:type="paragraph" w:customStyle="1" w:styleId="29">
    <w:name w:val="我的正文"/>
    <w:basedOn w:val="30"/>
    <w:qFormat/>
    <w:uiPriority w:val="0"/>
    <w:pPr>
      <w:spacing w:line="560" w:lineRule="exact"/>
      <w:ind w:firstLine="200" w:firstLineChars="200"/>
    </w:pPr>
    <w:rPr>
      <w:rFonts w:eastAsia="仿宋_GB2312"/>
      <w:sz w:val="32"/>
      <w:szCs w:val="32"/>
    </w:rPr>
  </w:style>
  <w:style w:type="paragraph" w:customStyle="1" w:styleId="30">
    <w:name w:val="正文 New New"/>
    <w:qFormat/>
    <w:uiPriority w:val="0"/>
    <w:pPr>
      <w:widowControl w:val="0"/>
      <w:jc w:val="both"/>
    </w:pPr>
    <w:rPr>
      <w:rFonts w:ascii="Calibri" w:hAnsi="Calibri" w:eastAsia="宋体" w:cs="Times New Roman"/>
      <w:kern w:val="2"/>
      <w:sz w:val="21"/>
      <w:lang w:val="en-US" w:eastAsia="zh-CN" w:bidi="ar-SA"/>
    </w:rPr>
  </w:style>
  <w:style w:type="character" w:customStyle="1" w:styleId="31">
    <w:name w:val="actspan2"/>
    <w:basedOn w:val="10"/>
    <w:qFormat/>
    <w:uiPriority w:val="0"/>
  </w:style>
  <w:style w:type="paragraph" w:customStyle="1" w:styleId="32">
    <w:name w:val="p0"/>
    <w:basedOn w:val="1"/>
    <w:qFormat/>
    <w:uiPriority w:val="0"/>
    <w:pPr>
      <w:widowControl/>
    </w:pPr>
    <w:rPr>
      <w:kern w:val="0"/>
      <w:szCs w:val="21"/>
    </w:rPr>
  </w:style>
  <w:style w:type="paragraph" w:customStyle="1" w:styleId="33">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34">
    <w:name w:val="Table caption|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35">
    <w:name w:val="Other|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36">
    <w:name w:val="Other|2"/>
    <w:basedOn w:val="1"/>
    <w:qFormat/>
    <w:uiPriority w:val="0"/>
    <w:pPr>
      <w:widowControl w:val="0"/>
      <w:shd w:val="clear" w:color="auto" w:fill="auto"/>
      <w:spacing w:before="160" w:line="230" w:lineRule="exact"/>
      <w:jc w:val="center"/>
    </w:pPr>
    <w:rPr>
      <w:rFonts w:ascii="宋体" w:hAnsi="宋体" w:eastAsia="宋体" w:cs="宋体"/>
      <w:sz w:val="22"/>
      <w:szCs w:val="22"/>
      <w:u w:val="none"/>
      <w:shd w:val="clear" w:color="auto" w:fill="auto"/>
      <w:lang w:val="zh-TW" w:eastAsia="zh-TW" w:bidi="zh-TW"/>
    </w:rPr>
  </w:style>
  <w:style w:type="paragraph" w:customStyle="1" w:styleId="37">
    <w:name w:val="Header or footer|1"/>
    <w:basedOn w:val="1"/>
    <w:qFormat/>
    <w:uiPriority w:val="0"/>
    <w:pPr>
      <w:widowControl w:val="0"/>
      <w:shd w:val="clear" w:color="auto" w:fill="auto"/>
    </w:pPr>
    <w:rPr>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4126</Words>
  <Characters>4465</Characters>
  <Lines>27</Lines>
  <Paragraphs>7</Paragraphs>
  <TotalTime>67</TotalTime>
  <ScaleCrop>false</ScaleCrop>
  <LinksUpToDate>false</LinksUpToDate>
  <CharactersWithSpaces>4542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白艳萍</cp:lastModifiedBy>
  <cp:lastPrinted>2022-11-15T02:04:00Z</cp:lastPrinted>
  <dcterms:modified xsi:type="dcterms:W3CDTF">2022-11-15T06:58:08Z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31460B3320CA464FBA1EB9D321C1646C</vt:lpwstr>
  </property>
</Properties>
</file>