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法人代表： </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乙方：</w:t>
      </w:r>
    </w:p>
    <w:p>
      <w:pPr>
        <w:jc w:val="left"/>
        <w:rPr>
          <w:rFonts w:ascii="仿宋" w:hAnsi="仿宋" w:eastAsia="仿宋" w:cs="Arial"/>
          <w:color w:val="333333"/>
          <w:sz w:val="32"/>
          <w:szCs w:val="32"/>
        </w:rPr>
      </w:pPr>
      <w:r>
        <w:rPr>
          <w:rFonts w:hint="eastAsia" w:ascii="仿宋" w:hAnsi="仿宋" w:eastAsia="仿宋" w:cs="Droid Sans"/>
          <w:color w:val="000000"/>
          <w:kern w:val="0"/>
          <w:sz w:val="32"/>
          <w:szCs w:val="32"/>
        </w:rPr>
        <w:t>统一社会信用代码：</w:t>
      </w:r>
    </w:p>
    <w:p>
      <w:pPr>
        <w:jc w:val="left"/>
        <w:rPr>
          <w:rFonts w:ascii="仿宋" w:hAnsi="仿宋" w:eastAsia="仿宋" w:cs="Arial"/>
          <w:color w:val="333333"/>
          <w:sz w:val="32"/>
          <w:szCs w:val="32"/>
        </w:rPr>
      </w:pPr>
      <w:r>
        <w:rPr>
          <w:rFonts w:hint="eastAsia" w:ascii="仿宋" w:hAnsi="仿宋" w:eastAsia="仿宋" w:cs="Arial"/>
          <w:color w:val="333333"/>
          <w:sz w:val="32"/>
          <w:szCs w:val="32"/>
        </w:rPr>
        <w:t>法人代表：</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ind w:firstLine="640" w:firstLineChars="200"/>
        <w:jc w:val="left"/>
        <w:rPr>
          <w:rFonts w:ascii="仿宋" w:hAnsi="仿宋" w:eastAsia="仿宋" w:cs="Arial"/>
          <w:color w:val="333333"/>
          <w:sz w:val="32"/>
          <w:szCs w:val="32"/>
        </w:rPr>
      </w:pP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鉴于乙方已于</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年</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月</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ascii="仿宋" w:hAnsi="仿宋" w:eastAsia="仿宋" w:cs="Arial"/>
          <w:color w:val="333333"/>
          <w:sz w:val="32"/>
          <w:szCs w:val="32"/>
        </w:rPr>
        <w:t>日</w:t>
      </w:r>
      <w:r>
        <w:rPr>
          <w:rFonts w:hint="eastAsia" w:ascii="仿宋" w:hAnsi="仿宋" w:eastAsia="仿宋" w:cs="Arial"/>
          <w:color w:val="333333"/>
          <w:sz w:val="32"/>
          <w:szCs w:val="32"/>
        </w:rPr>
        <w:t>成功通过“招拍挂”竞得</w:t>
      </w:r>
      <w:r>
        <w:rPr>
          <w:rFonts w:hint="eastAsia" w:ascii="仿宋" w:hAnsi="仿宋" w:eastAsia="仿宋" w:cs="Arial"/>
          <w:color w:val="333333"/>
          <w:sz w:val="32"/>
          <w:szCs w:val="32"/>
          <w:lang w:val="en-US" w:eastAsia="zh-CN"/>
        </w:rPr>
        <w:t>宗地编号为</w:t>
      </w:r>
      <w:r>
        <w:rPr>
          <w:rFonts w:hint="eastAsia" w:ascii="仿宋_GB2312" w:eastAsia="仿宋_GB2312"/>
          <w:sz w:val="32"/>
          <w:szCs w:val="32"/>
          <w:u w:val="single"/>
          <w:lang w:val="en-US" w:eastAsia="zh-CN"/>
        </w:rPr>
        <w:t>博自然资（用地）挂字[2021]59号</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lang w:val="en-US" w:eastAsia="zh-CN"/>
        </w:rPr>
        <w:t>的</w:t>
      </w:r>
      <w:r>
        <w:rPr>
          <w:rFonts w:ascii="仿宋" w:hAnsi="仿宋" w:eastAsia="仿宋" w:cs="Arial"/>
          <w:color w:val="333333"/>
          <w:sz w:val="32"/>
          <w:szCs w:val="32"/>
        </w:rPr>
        <w:t>国有建设用地使用权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 xml:space="preserve">国有建设用地使用权出让合同电监管号为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rPr>
        <w:t>，</w:t>
      </w:r>
      <w:r>
        <w:rPr>
          <w:rFonts w:hint="eastAsia" w:ascii="仿宋" w:hAnsi="仿宋" w:eastAsia="仿宋" w:cs="Arial"/>
          <w:color w:val="333333"/>
          <w:sz w:val="32"/>
          <w:szCs w:val="32"/>
        </w:rPr>
        <w:t>使用土地性质为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，土地出让年限</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rPr>
        <w:t>年</w:t>
      </w:r>
      <w:r>
        <w:rPr>
          <w:rFonts w:ascii="仿宋" w:hAnsi="仿宋" w:eastAsia="仿宋" w:cs="Arial"/>
          <w:color w:val="333333"/>
          <w:sz w:val="32"/>
          <w:szCs w:val="32"/>
        </w:rPr>
        <w:t>（以下简称“本宗地”）。</w:t>
      </w:r>
      <w:r>
        <w:rPr>
          <w:rFonts w:hint="eastAsia" w:ascii="仿宋" w:hAnsi="仿宋" w:eastAsia="仿宋" w:cs="Arial"/>
          <w:color w:val="333333"/>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第一条  项目概况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乙方拟在本宗地投资建设</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rPr>
        <w:t>（以下简称“项目”），项目建成投入使用后主要提供包括但不限于</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火力发电、热力生产</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。原则上自不动产权证证载日期起计，</w:t>
      </w:r>
      <w:r>
        <w:rPr>
          <w:rFonts w:hint="eastAsia" w:ascii="仿宋" w:hAnsi="仿宋" w:eastAsia="仿宋" w:cs="Arial"/>
          <w:color w:val="333333"/>
          <w:sz w:val="32"/>
          <w:szCs w:val="32"/>
          <w:u w:val="single"/>
          <w:lang w:val="en-US" w:eastAsia="zh-CN"/>
        </w:rPr>
        <w:t xml:space="preserve"> 24个月内 </w:t>
      </w:r>
      <w:r>
        <w:rPr>
          <w:rFonts w:hint="eastAsia" w:ascii="仿宋" w:hAnsi="仿宋" w:eastAsia="仿宋" w:cs="Arial"/>
          <w:color w:val="333333"/>
          <w:sz w:val="32"/>
          <w:szCs w:val="32"/>
        </w:rPr>
        <w:t>须全部建成并投入运营，并于投入运营之日起开始计算考核指标。</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2.乙方在甲方交付土地后即启动项目建设前期相关准备工作，</w:t>
      </w:r>
      <w:r>
        <w:rPr>
          <w:rFonts w:hint="eastAsia" w:ascii="仿宋" w:hAnsi="仿宋" w:eastAsia="仿宋" w:cs="Arial"/>
          <w:color w:val="333333"/>
          <w:sz w:val="32"/>
          <w:szCs w:val="32"/>
          <w:u w:val="single"/>
          <w:lang w:val="en-US" w:eastAsia="zh-CN"/>
        </w:rPr>
        <w:t xml:space="preserve"> 6 </w:t>
      </w:r>
      <w:r>
        <w:rPr>
          <w:rFonts w:hint="eastAsia" w:ascii="仿宋" w:hAnsi="仿宋" w:eastAsia="仿宋" w:cs="Arial"/>
          <w:color w:val="333333"/>
          <w:sz w:val="32"/>
          <w:szCs w:val="32"/>
        </w:rPr>
        <w:t>个月内实质开展桩基工程建设，</w:t>
      </w:r>
      <w:r>
        <w:rPr>
          <w:rFonts w:hint="eastAsia" w:ascii="仿宋" w:hAnsi="仿宋" w:eastAsia="仿宋" w:cs="Arial"/>
          <w:color w:val="333333"/>
          <w:sz w:val="32"/>
          <w:szCs w:val="32"/>
          <w:u w:val="single"/>
          <w:lang w:val="en-US" w:eastAsia="zh-CN"/>
        </w:rPr>
        <w:t xml:space="preserve"> 2 </w:t>
      </w:r>
      <w:r>
        <w:rPr>
          <w:rFonts w:hint="eastAsia" w:ascii="仿宋" w:hAnsi="仿宋" w:eastAsia="仿宋" w:cs="Arial"/>
          <w:color w:val="333333"/>
          <w:sz w:val="32"/>
          <w:szCs w:val="32"/>
        </w:rPr>
        <w:t>年内完成厂房竣工验收，厂房竣工验收之日起</w:t>
      </w:r>
      <w:r>
        <w:rPr>
          <w:rFonts w:hint="eastAsia" w:ascii="仿宋" w:hAnsi="仿宋" w:eastAsia="仿宋" w:cs="Arial"/>
          <w:color w:val="333333"/>
          <w:sz w:val="32"/>
          <w:szCs w:val="32"/>
          <w:u w:val="single"/>
          <w:lang w:val="en-US" w:eastAsia="zh-CN"/>
        </w:rPr>
        <w:t xml:space="preserve"> 1 </w:t>
      </w:r>
      <w:r>
        <w:rPr>
          <w:rFonts w:hint="eastAsia" w:ascii="仿宋" w:hAnsi="仿宋" w:eastAsia="仿宋" w:cs="Arial"/>
          <w:color w:val="333333"/>
          <w:sz w:val="32"/>
          <w:szCs w:val="32"/>
        </w:rPr>
        <w:t>个月内正式投产，正式投产之日起</w:t>
      </w:r>
      <w:r>
        <w:rPr>
          <w:rFonts w:hint="eastAsia" w:ascii="仿宋" w:hAnsi="仿宋" w:eastAsia="仿宋" w:cs="Arial"/>
          <w:color w:val="333333"/>
          <w:sz w:val="32"/>
          <w:szCs w:val="32"/>
          <w:u w:val="single"/>
          <w:lang w:val="en-US" w:eastAsia="zh-CN"/>
        </w:rPr>
        <w:t xml:space="preserve"> 48 </w:t>
      </w:r>
      <w:r>
        <w:rPr>
          <w:rFonts w:hint="eastAsia" w:ascii="仿宋" w:hAnsi="仿宋" w:eastAsia="仿宋" w:cs="Arial"/>
          <w:color w:val="333333"/>
          <w:sz w:val="32"/>
          <w:szCs w:val="32"/>
        </w:rPr>
        <w:t>个月达产。乙方须按照上述约定时间及投资计划进行项目的投资建设及投产运营。对于以上约定，如有特殊情</w:t>
      </w:r>
      <w:r>
        <w:rPr>
          <w:rFonts w:hint="eastAsia" w:ascii="仿宋" w:hAnsi="仿宋" w:eastAsia="仿宋" w:cs="Arial"/>
          <w:color w:val="333333"/>
          <w:sz w:val="32"/>
          <w:szCs w:val="32"/>
          <w:lang w:eastAsia="zh-CN"/>
        </w:rPr>
        <w:t>况</w:t>
      </w:r>
      <w:r>
        <w:rPr>
          <w:rFonts w:hint="eastAsia" w:ascii="仿宋" w:hAnsi="仿宋" w:eastAsia="仿宋" w:cs="Arial"/>
          <w:color w:val="333333"/>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333333"/>
          <w:sz w:val="32"/>
          <w:szCs w:val="32"/>
        </w:rPr>
        <w:t>3.乙方项目宗地面积约为</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79994平方米 </w:t>
      </w:r>
      <w:r>
        <w:rPr>
          <w:rFonts w:hint="eastAsia" w:ascii="仿宋" w:hAnsi="仿宋" w:eastAsia="仿宋" w:cs="Arial"/>
          <w:color w:val="333333"/>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0.3-1.0</w:t>
      </w:r>
      <w:r>
        <w:rPr>
          <w:rFonts w:hint="eastAsia" w:ascii="仿宋" w:hAnsi="仿宋" w:eastAsia="仿宋" w:cs="Arial"/>
          <w:color w:val="auto"/>
          <w:sz w:val="32"/>
          <w:szCs w:val="32"/>
        </w:rPr>
        <w:t>，</w:t>
      </w:r>
      <w:r>
        <w:rPr>
          <w:rFonts w:hint="eastAsia" w:ascii="仿宋" w:hAnsi="仿宋" w:eastAsia="仿宋" w:cs="Arial"/>
          <w:color w:val="333333"/>
          <w:sz w:val="32"/>
          <w:szCs w:val="32"/>
          <w:lang w:val="en-US" w:eastAsia="zh-CN"/>
        </w:rPr>
        <w:t>项目</w:t>
      </w:r>
      <w:r>
        <w:rPr>
          <w:rFonts w:hint="eastAsia" w:ascii="仿宋" w:hAnsi="仿宋" w:eastAsia="仿宋" w:cs="Arial"/>
          <w:color w:val="333333"/>
          <w:sz w:val="32"/>
          <w:szCs w:val="32"/>
        </w:rPr>
        <w:t>投资总额</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lang w:val="en-US" w:eastAsia="zh-CN"/>
        </w:rPr>
        <w:t>28.23亿元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人民币</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rPr>
        <w:t>。乙方承诺：项目达产后，可实现</w:t>
      </w:r>
      <w:r>
        <w:rPr>
          <w:rFonts w:hint="eastAsia" w:ascii="仿宋" w:hAnsi="仿宋" w:eastAsia="仿宋" w:cs="Arial"/>
          <w:color w:val="333333"/>
          <w:sz w:val="32"/>
          <w:szCs w:val="32"/>
          <w:lang w:val="en-US" w:eastAsia="zh-CN"/>
        </w:rPr>
        <w:t>年土地产值不低于</w:t>
      </w:r>
      <w:r>
        <w:rPr>
          <w:rFonts w:hint="eastAsia" w:ascii="仿宋" w:hAnsi="仿宋" w:eastAsia="仿宋" w:cs="Arial"/>
          <w:color w:val="333333"/>
          <w:sz w:val="32"/>
          <w:szCs w:val="32"/>
          <w:u w:val="single"/>
          <w:lang w:val="en-US" w:eastAsia="zh-CN"/>
        </w:rPr>
        <w:t xml:space="preserve"> 15亿元</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w:t>
      </w:r>
      <w:r>
        <w:rPr>
          <w:rFonts w:hint="eastAsia" w:ascii="仿宋" w:hAnsi="仿宋" w:eastAsia="仿宋" w:cs="Arial"/>
          <w:color w:val="auto"/>
          <w:sz w:val="32"/>
          <w:szCs w:val="32"/>
          <w:lang w:val="en-US" w:eastAsia="zh-CN"/>
        </w:rPr>
        <w:t>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333333"/>
          <w:sz w:val="32"/>
          <w:szCs w:val="32"/>
          <w:lang w:val="en-US" w:eastAsia="zh-CN"/>
        </w:rPr>
        <w:t>固定资产投资强度不低于</w:t>
      </w:r>
      <w:r>
        <w:rPr>
          <w:rFonts w:hint="eastAsia" w:ascii="仿宋" w:hAnsi="仿宋" w:eastAsia="仿宋" w:cs="Arial"/>
          <w:color w:val="auto"/>
          <w:sz w:val="32"/>
          <w:szCs w:val="32"/>
          <w:u w:val="single"/>
          <w:lang w:val="en-US" w:eastAsia="zh-CN"/>
        </w:rPr>
        <w:t xml:space="preserve"> 2318</w:t>
      </w:r>
      <w:r>
        <w:rPr>
          <w:rFonts w:hint="eastAsia" w:ascii="仿宋" w:hAnsi="仿宋" w:eastAsia="仿宋" w:cs="Arial"/>
          <w:color w:val="333333"/>
          <w:sz w:val="32"/>
          <w:szCs w:val="32"/>
          <w:u w:val="single"/>
          <w:lang w:val="en-US" w:eastAsia="zh-CN"/>
        </w:rPr>
        <w:t>万元/亩</w:t>
      </w:r>
      <w:r>
        <w:rPr>
          <w:rFonts w:hint="eastAsia" w:ascii="仿宋" w:hAnsi="仿宋" w:eastAsia="仿宋" w:cs="Arial"/>
          <w:color w:val="333333"/>
          <w:sz w:val="32"/>
          <w:szCs w:val="32"/>
          <w:lang w:val="en-US" w:eastAsia="zh-CN"/>
        </w:rPr>
        <w:t>（人民币），年度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lang w:val="en-US" w:eastAsia="zh-CN"/>
        </w:rPr>
        <w:t>3500 万元</w:t>
      </w:r>
      <w:r>
        <w:rPr>
          <w:rFonts w:hint="eastAsia" w:ascii="仿宋" w:hAnsi="仿宋" w:eastAsia="仿宋" w:cs="Arial"/>
          <w:color w:val="333333"/>
          <w:sz w:val="32"/>
          <w:szCs w:val="32"/>
          <w:lang w:val="en-US" w:eastAsia="zh-CN"/>
        </w:rPr>
        <w:t>（人民币）。</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第二条 甲方权利和义务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甲方应为乙方项目建设、施工及竣工达产等提供全方位指导性服务。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 甲方负责乙方项目竣工验收后的运营监管工作。</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自项目达产之日起（以乙方向甲方书面报告时间为准），</w:t>
      </w:r>
      <w:r>
        <w:rPr>
          <w:rFonts w:hint="eastAsia" w:ascii="仿宋" w:hAnsi="仿宋" w:eastAsia="仿宋" w:cs="Arial"/>
          <w:color w:val="333333"/>
          <w:sz w:val="32"/>
          <w:szCs w:val="32"/>
          <w:lang w:eastAsia="zh-CN"/>
        </w:rPr>
        <w:t>甲方</w:t>
      </w:r>
      <w:r>
        <w:rPr>
          <w:rFonts w:hint="eastAsia" w:ascii="仿宋" w:hAnsi="仿宋" w:eastAsia="仿宋" w:cs="Arial"/>
          <w:color w:val="333333"/>
          <w:sz w:val="32"/>
          <w:szCs w:val="32"/>
        </w:rPr>
        <w:t>可自行或委托专业机构对乙方承诺单位</w:t>
      </w:r>
      <w:r>
        <w:rPr>
          <w:rFonts w:hint="eastAsia" w:ascii="仿宋" w:hAnsi="仿宋" w:eastAsia="仿宋" w:cs="Arial"/>
          <w:color w:val="333333"/>
          <w:sz w:val="32"/>
          <w:szCs w:val="32"/>
          <w:lang w:val="en-US" w:eastAsia="zh-CN"/>
        </w:rPr>
        <w:t>土地面积上的</w:t>
      </w:r>
      <w:r>
        <w:rPr>
          <w:rFonts w:hint="eastAsia" w:ascii="仿宋" w:hAnsi="仿宋" w:eastAsia="仿宋" w:cs="Arial"/>
          <w:color w:val="333333"/>
          <w:sz w:val="32"/>
          <w:szCs w:val="32"/>
        </w:rPr>
        <w:t>固定资产投资强度、</w:t>
      </w:r>
      <w:r>
        <w:rPr>
          <w:rFonts w:hint="eastAsia" w:ascii="仿宋" w:hAnsi="仿宋" w:eastAsia="仿宋" w:cs="Arial"/>
          <w:color w:val="333333"/>
          <w:sz w:val="32"/>
          <w:szCs w:val="32"/>
          <w:lang w:val="en-US" w:eastAsia="zh-CN"/>
        </w:rPr>
        <w:t>年度税收</w:t>
      </w:r>
      <w:r>
        <w:rPr>
          <w:rFonts w:hint="eastAsia" w:ascii="仿宋" w:hAnsi="仿宋" w:eastAsia="仿宋" w:cs="Arial"/>
          <w:color w:val="333333"/>
          <w:sz w:val="32"/>
          <w:szCs w:val="32"/>
        </w:rPr>
        <w:t>等进行核查（乙方可自行选择</w:t>
      </w:r>
      <w:r>
        <w:rPr>
          <w:rFonts w:hint="eastAsia" w:ascii="仿宋" w:hAnsi="仿宋" w:eastAsia="仿宋" w:cs="Arial"/>
          <w:color w:val="333333"/>
          <w:sz w:val="32"/>
          <w:szCs w:val="32"/>
          <w:lang w:eastAsia="zh-CN"/>
        </w:rPr>
        <w:t>自达产之日起</w:t>
      </w:r>
      <w:r>
        <w:rPr>
          <w:rFonts w:hint="eastAsia" w:ascii="仿宋" w:hAnsi="仿宋" w:eastAsia="仿宋" w:cs="Arial"/>
          <w:color w:val="333333"/>
          <w:sz w:val="32"/>
          <w:szCs w:val="32"/>
          <w:lang w:val="en-US" w:eastAsia="zh-CN"/>
        </w:rPr>
        <w:t>4</w:t>
      </w:r>
      <w:r>
        <w:rPr>
          <w:rFonts w:hint="eastAsia" w:ascii="仿宋" w:hAnsi="仿宋" w:eastAsia="仿宋" w:cs="Arial"/>
          <w:color w:val="333333"/>
          <w:sz w:val="32"/>
          <w:szCs w:val="32"/>
        </w:rPr>
        <w:t>年间</w:t>
      </w:r>
      <w:r>
        <w:rPr>
          <w:rFonts w:hint="eastAsia" w:ascii="仿宋" w:hAnsi="仿宋" w:eastAsia="仿宋" w:cs="Arial"/>
          <w:color w:val="333333"/>
          <w:sz w:val="32"/>
          <w:szCs w:val="32"/>
          <w:lang w:eastAsia="zh-CN"/>
        </w:rPr>
        <w:t>最高的</w:t>
      </w:r>
      <w:r>
        <w:rPr>
          <w:rFonts w:hint="eastAsia" w:ascii="仿宋" w:hAnsi="仿宋" w:eastAsia="仿宋" w:cs="Arial"/>
          <w:color w:val="333333"/>
          <w:sz w:val="32"/>
          <w:szCs w:val="32"/>
          <w:lang w:val="en-US" w:eastAsia="zh-CN"/>
        </w:rPr>
        <w:t>2</w:t>
      </w:r>
      <w:r>
        <w:rPr>
          <w:rFonts w:hint="eastAsia" w:ascii="仿宋" w:hAnsi="仿宋" w:eastAsia="仿宋" w:cs="Arial"/>
          <w:color w:val="333333"/>
          <w:sz w:val="32"/>
          <w:szCs w:val="32"/>
        </w:rPr>
        <w:t>年的</w:t>
      </w:r>
      <w:r>
        <w:rPr>
          <w:rFonts w:hint="eastAsia" w:ascii="仿宋" w:hAnsi="仿宋" w:eastAsia="仿宋" w:cs="Arial"/>
          <w:color w:val="333333"/>
          <w:sz w:val="32"/>
          <w:szCs w:val="32"/>
          <w:lang w:eastAsia="zh-CN"/>
        </w:rPr>
        <w:t>平均数</w:t>
      </w:r>
      <w:r>
        <w:rPr>
          <w:rFonts w:hint="eastAsia" w:ascii="仿宋" w:hAnsi="仿宋" w:eastAsia="仿宋" w:cs="Arial"/>
          <w:color w:val="333333"/>
          <w:sz w:val="32"/>
          <w:szCs w:val="32"/>
        </w:rPr>
        <w:t>提供给甲方核查）。</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第三条  乙方权利和义务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乙方承诺本宗地只能用于本协议第一条约定的项目建设。</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2.</w:t>
      </w:r>
      <w:r>
        <w:rPr>
          <w:rFonts w:ascii="Times New Roman" w:hAnsi="Times New Roman" w:eastAsia="方正仿宋_GBK" w:cs="Droid Sans"/>
          <w:color w:val="000000"/>
          <w:kern w:val="0"/>
          <w:sz w:val="32"/>
          <w:szCs w:val="32"/>
        </w:rPr>
        <w:t xml:space="preserve"> </w:t>
      </w:r>
      <w:r>
        <w:rPr>
          <w:rFonts w:hint="eastAsia" w:ascii="仿宋" w:hAnsi="仿宋" w:eastAsia="仿宋" w:cs="Arial"/>
          <w:color w:val="333333"/>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乙方项目达产后1个月内，须书面向甲方报告达产时间及生产经营情况。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color w:val="333333"/>
          <w:sz w:val="32"/>
          <w:szCs w:val="32"/>
        </w:rPr>
      </w:pPr>
      <w:r>
        <w:rPr>
          <w:rFonts w:hint="eastAsia" w:ascii="仿宋" w:hAnsi="仿宋" w:eastAsia="仿宋" w:cs="Arial"/>
          <w:b/>
          <w:color w:val="333333"/>
          <w:sz w:val="32"/>
          <w:szCs w:val="32"/>
        </w:rPr>
        <w:t>第四条  违约责任</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如乙方违反本协议之约定，应承担以下违约责任：</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经甲方核查，乙方项目达产后</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税收达不到本协议约定要求的，自甲方出具核查不合格通知书之日起20日内，乙方应向甲方以下列方式</w:t>
      </w:r>
      <w:r>
        <w:rPr>
          <w:rFonts w:hint="eastAsia" w:ascii="仿宋" w:hAnsi="仿宋" w:eastAsia="仿宋" w:cs="Arial"/>
          <w:color w:val="333333"/>
          <w:sz w:val="32"/>
          <w:szCs w:val="32"/>
          <w:lang w:eastAsia="zh-CN"/>
        </w:rPr>
        <w:t>一次性补偿基础设施费</w:t>
      </w:r>
      <w:r>
        <w:rPr>
          <w:rFonts w:hint="eastAsia" w:ascii="仿宋" w:hAnsi="仿宋" w:eastAsia="仿宋" w:cs="Arial"/>
          <w:color w:val="333333"/>
          <w:sz w:val="32"/>
          <w:szCs w:val="32"/>
        </w:rPr>
        <w:t>，即达产后</w:t>
      </w:r>
      <w:r>
        <w:rPr>
          <w:rFonts w:hint="eastAsia" w:ascii="仿宋" w:hAnsi="仿宋" w:eastAsia="仿宋" w:cs="Arial"/>
          <w:color w:val="333333"/>
          <w:sz w:val="32"/>
          <w:szCs w:val="32"/>
          <w:lang w:eastAsia="zh-CN"/>
        </w:rPr>
        <w:t>约定</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减</w:t>
      </w:r>
      <w:r>
        <w:rPr>
          <w:rFonts w:hint="eastAsia" w:ascii="仿宋" w:hAnsi="仿宋" w:eastAsia="仿宋" w:cs="Arial"/>
          <w:color w:val="333333"/>
          <w:sz w:val="32"/>
          <w:szCs w:val="32"/>
        </w:rPr>
        <w:t>达产后实际</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第五条 争议解决方式</w:t>
      </w:r>
    </w:p>
    <w:p>
      <w:pPr>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333333"/>
          <w:sz w:val="32"/>
          <w:szCs w:val="32"/>
        </w:rPr>
      </w:pPr>
    </w:p>
    <w:p>
      <w:p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第六条 协议书效力</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本协议一式</w:t>
      </w:r>
      <w:r>
        <w:rPr>
          <w:rFonts w:hint="eastAsia" w:ascii="仿宋" w:hAnsi="仿宋" w:eastAsia="仿宋" w:cs="Arial"/>
          <w:color w:val="333333"/>
          <w:sz w:val="32"/>
          <w:szCs w:val="32"/>
          <w:lang w:val="en-US" w:eastAsia="zh-CN"/>
        </w:rPr>
        <w:t>五</w:t>
      </w:r>
      <w:r>
        <w:rPr>
          <w:rFonts w:hint="eastAsia" w:ascii="仿宋" w:hAnsi="仿宋" w:eastAsia="仿宋" w:cs="Arial"/>
          <w:color w:val="333333"/>
          <w:sz w:val="32"/>
          <w:szCs w:val="32"/>
        </w:rPr>
        <w:t>份，具有同等法律效力，甲方执</w:t>
      </w:r>
      <w:r>
        <w:rPr>
          <w:rFonts w:hint="eastAsia" w:ascii="仿宋" w:hAnsi="仿宋" w:eastAsia="仿宋" w:cs="Arial"/>
          <w:color w:val="333333"/>
          <w:sz w:val="32"/>
          <w:szCs w:val="32"/>
          <w:lang w:val="en-US" w:eastAsia="zh-CN"/>
        </w:rPr>
        <w:t>三</w:t>
      </w:r>
      <w:r>
        <w:rPr>
          <w:rFonts w:hint="eastAsia" w:ascii="仿宋" w:hAnsi="仿宋" w:eastAsia="仿宋" w:cs="Arial"/>
          <w:color w:val="333333"/>
          <w:sz w:val="32"/>
          <w:szCs w:val="32"/>
        </w:rPr>
        <w:t>份</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乙方执二份</w:t>
      </w:r>
      <w:r>
        <w:rPr>
          <w:rFonts w:hint="eastAsia" w:ascii="仿宋" w:hAnsi="仿宋" w:eastAsia="仿宋" w:cs="Arial"/>
          <w:color w:val="333333"/>
          <w:sz w:val="32"/>
          <w:szCs w:val="32"/>
        </w:rPr>
        <w:t>。</w:t>
      </w:r>
      <w:bookmarkStart w:id="0" w:name="_GoBack"/>
      <w:bookmarkEnd w:id="0"/>
    </w:p>
    <w:p>
      <w:pPr>
        <w:ind w:firstLine="0" w:firstLineChars="0"/>
        <w:jc w:val="both"/>
        <w:rPr>
          <w:rFonts w:ascii="仿宋" w:hAnsi="仿宋" w:eastAsia="仿宋" w:cs="Arial"/>
          <w:color w:val="333333"/>
          <w:sz w:val="32"/>
          <w:szCs w:val="32"/>
        </w:rPr>
      </w:pPr>
      <w:r>
        <w:rPr>
          <w:rFonts w:hint="eastAsia" w:ascii="仿宋" w:hAnsi="仿宋" w:eastAsia="仿宋" w:cs="Arial"/>
          <w:color w:val="333333"/>
          <w:sz w:val="32"/>
          <w:szCs w:val="32"/>
        </w:rPr>
        <w:t>自甲乙双方签字盖章之日起生效。</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333333"/>
          <w:sz w:val="32"/>
          <w:szCs w:val="32"/>
        </w:rPr>
      </w:pPr>
    </w:p>
    <w:p>
      <w:pPr>
        <w:numPr>
          <w:ilvl w:val="0"/>
          <w:numId w:val="2"/>
        </w:num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通知与送达方式</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ascii="仿宋" w:hAnsi="仿宋" w:eastAsia="仿宋" w:cs="Arial"/>
          <w:color w:val="333333"/>
          <w:sz w:val="32"/>
          <w:szCs w:val="32"/>
        </w:rPr>
        <w:br w:type="textWrapping"/>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甲方（公章）：                 乙方（盖章）：</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代表（签字）：                 代表人（签字）：</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 </w:t>
      </w:r>
    </w:p>
    <w:p>
      <w:pPr>
        <w:jc w:val="left"/>
        <w:rPr>
          <w:rFonts w:ascii="仿宋" w:hAnsi="仿宋" w:eastAsia="仿宋" w:cs="Arial"/>
          <w:color w:val="333333"/>
          <w:sz w:val="32"/>
          <w:szCs w:val="32"/>
        </w:rPr>
      </w:pPr>
      <w:r>
        <w:rPr>
          <w:rFonts w:hint="eastAsia" w:ascii="仿宋" w:hAnsi="仿宋" w:eastAsia="仿宋" w:cs="Arial"/>
          <w:color w:val="333333"/>
          <w:sz w:val="32"/>
          <w:szCs w:val="32"/>
        </w:rPr>
        <w:t>日期：  年  月  日            日期：  年  月  日</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甲方送达方式如下               乙方送达方式如下</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电子邮箱：                     电子邮箱：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联系地址：                     联系地址：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传真：                         传真：                                        </w:t>
      </w:r>
    </w:p>
    <w:p>
      <w:pPr>
        <w:jc w:val="left"/>
        <w:rPr>
          <w:rFonts w:ascii="仿宋" w:hAnsi="仿宋" w:eastAsia="仿宋" w:cs="Arial"/>
          <w:color w:val="333333"/>
          <w:sz w:val="32"/>
          <w:szCs w:val="32"/>
        </w:rPr>
      </w:pPr>
      <w:r>
        <w:rPr>
          <w:rFonts w:hint="eastAsia" w:ascii="仿宋" w:hAnsi="仿宋" w:eastAsia="仿宋" w:cs="Arial"/>
          <w:color w:val="333333"/>
          <w:sz w:val="32"/>
          <w:szCs w:val="32"/>
        </w:rPr>
        <w:t>联系人：                       联系人：</w:t>
      </w:r>
    </w:p>
    <w:p>
      <w:pPr>
        <w:jc w:val="left"/>
        <w:rPr>
          <w:rFonts w:ascii="仿宋" w:hAnsi="仿宋" w:eastAsia="仿宋"/>
          <w:sz w:val="32"/>
          <w:szCs w:val="32"/>
        </w:rPr>
      </w:pPr>
      <w:r>
        <w:rPr>
          <w:rFonts w:hint="eastAsia" w:ascii="仿宋" w:hAnsi="仿宋" w:eastAsia="仿宋" w:cs="Arial"/>
          <w:color w:val="333333"/>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1BF4489"/>
    <w:rsid w:val="02EE7D1F"/>
    <w:rsid w:val="03AF17F8"/>
    <w:rsid w:val="04853F9C"/>
    <w:rsid w:val="06C37244"/>
    <w:rsid w:val="07000235"/>
    <w:rsid w:val="089260C7"/>
    <w:rsid w:val="09153D40"/>
    <w:rsid w:val="09B6085E"/>
    <w:rsid w:val="0AA57B61"/>
    <w:rsid w:val="0C742940"/>
    <w:rsid w:val="0D096354"/>
    <w:rsid w:val="0E290DA3"/>
    <w:rsid w:val="0F605FF0"/>
    <w:rsid w:val="0F7647B4"/>
    <w:rsid w:val="109F32A2"/>
    <w:rsid w:val="10D90D96"/>
    <w:rsid w:val="10FB725B"/>
    <w:rsid w:val="11A96F5F"/>
    <w:rsid w:val="12FC44E0"/>
    <w:rsid w:val="13225CD9"/>
    <w:rsid w:val="165A5772"/>
    <w:rsid w:val="174E545D"/>
    <w:rsid w:val="18031C72"/>
    <w:rsid w:val="19354D94"/>
    <w:rsid w:val="19D062B4"/>
    <w:rsid w:val="1BB0704B"/>
    <w:rsid w:val="1D5D4A42"/>
    <w:rsid w:val="1DAC6A68"/>
    <w:rsid w:val="1DBA6C45"/>
    <w:rsid w:val="20934BA0"/>
    <w:rsid w:val="21BB3A04"/>
    <w:rsid w:val="21D45B24"/>
    <w:rsid w:val="223932CB"/>
    <w:rsid w:val="24115A6A"/>
    <w:rsid w:val="25145B3D"/>
    <w:rsid w:val="251D7E5E"/>
    <w:rsid w:val="26B22A7B"/>
    <w:rsid w:val="28153CEE"/>
    <w:rsid w:val="28B50087"/>
    <w:rsid w:val="29CF60A3"/>
    <w:rsid w:val="2A82618E"/>
    <w:rsid w:val="2AAD53F3"/>
    <w:rsid w:val="2B090704"/>
    <w:rsid w:val="2C1666FE"/>
    <w:rsid w:val="2C3B26C9"/>
    <w:rsid w:val="2C5509C3"/>
    <w:rsid w:val="2CD3170B"/>
    <w:rsid w:val="2D770135"/>
    <w:rsid w:val="3101706B"/>
    <w:rsid w:val="31526B7D"/>
    <w:rsid w:val="323245A1"/>
    <w:rsid w:val="33F0055A"/>
    <w:rsid w:val="364A2A2C"/>
    <w:rsid w:val="3708183A"/>
    <w:rsid w:val="38501441"/>
    <w:rsid w:val="3970453B"/>
    <w:rsid w:val="3B5D31DA"/>
    <w:rsid w:val="3BEA777F"/>
    <w:rsid w:val="3C5D7BC2"/>
    <w:rsid w:val="3D9271F1"/>
    <w:rsid w:val="3E443641"/>
    <w:rsid w:val="3E4671B3"/>
    <w:rsid w:val="3FB2071B"/>
    <w:rsid w:val="402A1091"/>
    <w:rsid w:val="41A30980"/>
    <w:rsid w:val="41BC39F2"/>
    <w:rsid w:val="423F0AC5"/>
    <w:rsid w:val="44CA3F18"/>
    <w:rsid w:val="45173BDE"/>
    <w:rsid w:val="45DE4434"/>
    <w:rsid w:val="461D0AA5"/>
    <w:rsid w:val="47413903"/>
    <w:rsid w:val="47AC4FA4"/>
    <w:rsid w:val="487B755A"/>
    <w:rsid w:val="488B7004"/>
    <w:rsid w:val="4A834031"/>
    <w:rsid w:val="4B373F9C"/>
    <w:rsid w:val="4BA67EF4"/>
    <w:rsid w:val="4BC27CD0"/>
    <w:rsid w:val="4BC64786"/>
    <w:rsid w:val="4BDB2055"/>
    <w:rsid w:val="4EB77D91"/>
    <w:rsid w:val="507C7163"/>
    <w:rsid w:val="51F75E40"/>
    <w:rsid w:val="544C5A47"/>
    <w:rsid w:val="54C74F93"/>
    <w:rsid w:val="55D9696D"/>
    <w:rsid w:val="568A688B"/>
    <w:rsid w:val="56D30DAA"/>
    <w:rsid w:val="56E036DE"/>
    <w:rsid w:val="57371331"/>
    <w:rsid w:val="589457E3"/>
    <w:rsid w:val="5C881555"/>
    <w:rsid w:val="5C970D98"/>
    <w:rsid w:val="5CAF314D"/>
    <w:rsid w:val="5CF32F48"/>
    <w:rsid w:val="5CFF157D"/>
    <w:rsid w:val="5DFA43F4"/>
    <w:rsid w:val="5E586F85"/>
    <w:rsid w:val="5E5F6A0E"/>
    <w:rsid w:val="5E8E54B9"/>
    <w:rsid w:val="5EDB70DB"/>
    <w:rsid w:val="5FE00A07"/>
    <w:rsid w:val="61221754"/>
    <w:rsid w:val="615A6F19"/>
    <w:rsid w:val="61871CC8"/>
    <w:rsid w:val="640D1C21"/>
    <w:rsid w:val="641810B4"/>
    <w:rsid w:val="64397DDA"/>
    <w:rsid w:val="65017FD4"/>
    <w:rsid w:val="657D5FF6"/>
    <w:rsid w:val="66BF7F3D"/>
    <w:rsid w:val="672236A1"/>
    <w:rsid w:val="68D0020D"/>
    <w:rsid w:val="696778D4"/>
    <w:rsid w:val="6AEF79A2"/>
    <w:rsid w:val="6C8211A2"/>
    <w:rsid w:val="6CAB7FCE"/>
    <w:rsid w:val="6EC41E14"/>
    <w:rsid w:val="6F522F8D"/>
    <w:rsid w:val="6FAB59F3"/>
    <w:rsid w:val="70CC701F"/>
    <w:rsid w:val="71461992"/>
    <w:rsid w:val="71535DA0"/>
    <w:rsid w:val="71664424"/>
    <w:rsid w:val="716A6293"/>
    <w:rsid w:val="726309DB"/>
    <w:rsid w:val="72FB2495"/>
    <w:rsid w:val="73D13171"/>
    <w:rsid w:val="75722252"/>
    <w:rsid w:val="76606B4D"/>
    <w:rsid w:val="76876E6B"/>
    <w:rsid w:val="78B36EFA"/>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2</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2022-01-25T07:46:40Z</cp:lastPrinted>
  <dcterms:modified xsi:type="dcterms:W3CDTF">2022-01-25T07:47:40Z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