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3）9514.9规划设计条件告知书GH2020081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）9514.9规划设计条件告知书GH2020081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3）9514.9规划设计条件告知书GH2020081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）9514.9规划设计条件告知书GH2020081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3）9514.9规划设计条件告知书GH2020081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）9514.9规划设计条件告知书GH2020081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86980"/>
            <wp:effectExtent l="0" t="0" r="7620" b="13970"/>
            <wp:docPr id="8" name="图片 8" descr="81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1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8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8089900"/>
            <wp:effectExtent l="0" t="0" r="2540" b="6350"/>
            <wp:docPr id="7" name="图片 7" descr="81号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1号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3）9514.9规划设计条件告知书GH2020081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）9514.9规划设计条件告知书GH2020081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C63AE"/>
    <w:rsid w:val="499C63AE"/>
    <w:rsid w:val="7D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2021-01-26T09:30:00Z</dcterms:created>
  <dc:creator> 翼 </dc:creator>
  <cp:lastModifiedBy>佐宇</cp:lastModifiedBy>
  <dcterms:modified xsi:type="dcterms:W3CDTF">2021-02-01T08:19:42Z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