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惠州</w:t>
      </w:r>
      <w:r>
        <w:rPr>
          <w:rFonts w:hint="eastAsia" w:ascii="方正小标宋简体" w:hAnsi="方正小标宋简体" w:eastAsia="方正小标宋简体" w:cs="方正小标宋简体"/>
          <w:color w:val="auto"/>
          <w:sz w:val="44"/>
          <w:szCs w:val="44"/>
          <w:highlight w:val="none"/>
          <w:lang w:val="en-US" w:eastAsia="zh-CN"/>
        </w:rPr>
        <w:t>大亚湾区</w:t>
      </w:r>
      <w:r>
        <w:rPr>
          <w:rFonts w:hint="eastAsia" w:ascii="方正小标宋简体" w:hAnsi="方正小标宋简体" w:eastAsia="方正小标宋简体" w:cs="方正小标宋简体"/>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网上挂牌出让竞买须知</w:t>
      </w:r>
    </w:p>
    <w:p>
      <w:pPr>
        <w:pStyle w:val="4"/>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w:t>
      </w:r>
      <w:r>
        <w:rPr>
          <w:rFonts w:hint="eastAsia" w:ascii="宋体" w:hAnsi="宋体" w:eastAsia="宋体" w:cs="宋体"/>
          <w:color w:val="auto"/>
          <w:sz w:val="31"/>
          <w:szCs w:val="31"/>
          <w:lang w:val="en-US" w:eastAsia="zh-CN"/>
        </w:rPr>
        <w:t>029</w:t>
      </w:r>
      <w:r>
        <w:rPr>
          <w:rFonts w:hint="eastAsia" w:ascii="宋体" w:hAnsi="宋体" w:eastAsia="宋体" w:cs="宋体"/>
          <w:color w:val="auto"/>
          <w:sz w:val="31"/>
          <w:szCs w:val="31"/>
        </w:rPr>
        <w:t>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三、中华人民共和国境内外的法人和其他组织（除法律法规另有规定外），符合竞买资格的，均可通过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，申请参加电子挂牌交易活动。</w:t>
      </w:r>
    </w:p>
    <w:p>
      <w:pPr>
        <w:pStyle w:val="4"/>
        <w:keepNext w:val="0"/>
        <w:keepLines w:val="0"/>
        <w:widowControl/>
        <w:suppressLineNumbers w:val="0"/>
        <w:ind w:left="0" w:firstLine="645"/>
        <w:rPr>
          <w:rFonts w:hint="eastAsia" w:ascii="仿宋" w:hAnsi="仿宋" w:eastAsia="仿宋" w:cs="仿宋"/>
          <w:color w:val="auto"/>
          <w:sz w:val="32"/>
          <w:szCs w:val="32"/>
        </w:rPr>
      </w:pPr>
      <w:r>
        <w:rPr>
          <w:rFonts w:hint="eastAsia" w:ascii="仿宋" w:hAnsi="仿宋" w:eastAsia="仿宋" w:cs="仿宋"/>
          <w:color w:val="auto"/>
          <w:sz w:val="32"/>
          <w:szCs w:val="32"/>
        </w:rPr>
        <w:t>惠州</w:t>
      </w:r>
      <w:r>
        <w:rPr>
          <w:rFonts w:hint="eastAsia" w:ascii="仿宋" w:hAnsi="仿宋" w:eastAsia="仿宋" w:cs="仿宋"/>
          <w:color w:val="auto"/>
          <w:sz w:val="32"/>
          <w:szCs w:val="32"/>
          <w:lang w:val="en-US" w:eastAsia="zh-CN"/>
        </w:rPr>
        <w:t>大亚湾区</w:t>
      </w:r>
      <w:r>
        <w:rPr>
          <w:rFonts w:hint="eastAsia" w:ascii="仿宋" w:hAnsi="仿宋" w:eastAsia="仿宋" w:cs="仿宋"/>
          <w:color w:val="auto"/>
          <w:sz w:val="32"/>
          <w:szCs w:val="32"/>
        </w:rPr>
        <w:t>国有建设用地使用权网上挂牌出让公告（以下简称“挂牌出让公告”）对竞买资格有特别要求的，以挂牌出让公告为准。</w:t>
      </w:r>
    </w:p>
    <w:p>
      <w:pPr>
        <w:pStyle w:val="4"/>
        <w:keepNext w:val="0"/>
        <w:keepLines w:val="0"/>
        <w:widowControl/>
        <w:numPr>
          <w:ilvl w:val="0"/>
          <w:numId w:val="0"/>
        </w:numPr>
        <w:suppressLineNumbers w:val="0"/>
        <w:ind w:right="0" w:righ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w:t>
      </w:r>
      <w:r>
        <w:rPr>
          <w:rFonts w:hint="eastAsia" w:ascii="仿宋" w:hAnsi="仿宋" w:eastAsia="仿宋" w:cs="仿宋"/>
          <w:color w:val="auto"/>
          <w:sz w:val="32"/>
          <w:szCs w:val="32"/>
          <w:lang w:val="en-US" w:eastAsia="zh-CN"/>
        </w:rPr>
        <w:t>大亚湾分中心</w:t>
      </w:r>
      <w:r>
        <w:rPr>
          <w:rFonts w:hint="eastAsia" w:ascii="仿宋" w:hAnsi="仿宋" w:eastAsia="仿宋" w:cs="仿宋"/>
          <w:color w:val="auto"/>
          <w:sz w:val="32"/>
          <w:szCs w:val="32"/>
        </w:rPr>
        <w:t>（以下简称“交易中心”）咨询。有意竞买者可自行踏勘现场（可在</w:t>
      </w:r>
      <w:r>
        <w:rPr>
          <w:rFonts w:hint="eastAsia" w:ascii="仿宋" w:hAnsi="仿宋" w:eastAsia="仿宋" w:cs="仿宋"/>
          <w:color w:val="auto"/>
          <w:sz w:val="32"/>
          <w:szCs w:val="32"/>
          <w:lang w:eastAsia="zh-CN"/>
        </w:rPr>
        <w:t>电子交易系统</w:t>
      </w:r>
      <w:r>
        <w:rPr>
          <w:rFonts w:hint="eastAsia" w:ascii="仿宋" w:hAnsi="仿宋" w:eastAsia="仿宋" w:cs="仿宋"/>
          <w:color w:val="auto"/>
          <w:sz w:val="32"/>
          <w:szCs w:val="32"/>
        </w:rPr>
        <w:t>查阅位置图和现状图）。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五、网上挂牌交易程序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（一）发布网上挂牌信息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有关宗地的电子挂牌出让公告等相关信息通过交易大厅的电子显示屏、中国土地市场网、广东省公共资源交易平台和</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等媒介同步发布。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有意竞买者可登录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网站(</w:t>
      </w:r>
      <w:r>
        <w:rPr>
          <w:rFonts w:hint="eastAsia" w:ascii="仿宋" w:hAnsi="仿宋" w:eastAsia="仿宋" w:cs="仿宋"/>
          <w:color w:val="auto"/>
          <w:sz w:val="32"/>
          <w:szCs w:val="32"/>
          <w:highlight w:val="none"/>
          <w:lang w:eastAsia="zh-CN"/>
        </w:rPr>
        <w:t>https://tdky.hzggzyjy.cn/</w:t>
      </w:r>
      <w:r>
        <w:rPr>
          <w:rFonts w:hint="eastAsia" w:ascii="仿宋" w:hAnsi="仿宋" w:eastAsia="仿宋" w:cs="仿宋"/>
          <w:color w:val="auto"/>
          <w:sz w:val="32"/>
          <w:szCs w:val="32"/>
          <w:highlight w:val="none"/>
        </w:rPr>
        <w:t>)查询。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（二）挂牌文件获取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申请人可在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国有建设用地使用权网上挂牌出让竞买须知；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、挂牌出让地块现状图；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、建设用地红线界限图；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、规划设计条件告知书；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、国有建设用地使用权网上挂牌成交确认书（样本）；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7</w:t>
      </w:r>
      <w:r>
        <w:rPr>
          <w:rFonts w:hint="eastAsia" w:ascii="仿宋" w:hAnsi="仿宋" w:eastAsia="仿宋" w:cs="仿宋"/>
          <w:color w:val="auto"/>
          <w:sz w:val="32"/>
          <w:szCs w:val="32"/>
          <w:highlight w:val="none"/>
        </w:rPr>
        <w:t>、国有建设用地使用权出让合同（样本）；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8</w:t>
      </w:r>
      <w:r>
        <w:rPr>
          <w:rFonts w:hint="eastAsia" w:ascii="仿宋" w:hAnsi="仿宋" w:eastAsia="仿宋" w:cs="仿宋"/>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（三）办理数字证书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、本宗国有建设用地使用权网上挂牌出让只能在互联网上，通过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进行。只有通过网上注册、办理数字证书、按要求足额交付竞买保证金的申请人，才能参加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 xml:space="preserve">活动。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、办理数字证书是参加本宗地网上挂牌出让活动的必经程序，申请人应当携带相关有效证件到广东省数字证书认证中心惠州办理点（地址：广东省惠州市惠城区三新北路</w:t>
      </w:r>
      <w:r>
        <w:rPr>
          <w:rFonts w:hint="default" w:ascii="仿宋" w:hAnsi="仿宋" w:eastAsia="仿宋" w:cs="仿宋"/>
          <w:color w:val="auto"/>
          <w:sz w:val="32"/>
          <w:szCs w:val="32"/>
          <w:highlight w:val="none"/>
        </w:rPr>
        <w:t>31</w:t>
      </w:r>
      <w:r>
        <w:rPr>
          <w:rFonts w:hint="eastAsia" w:ascii="仿宋" w:hAnsi="仿宋" w:eastAsia="仿宋" w:cs="仿宋"/>
          <w:color w:val="auto"/>
          <w:sz w:val="32"/>
          <w:szCs w:val="32"/>
          <w:highlight w:val="none"/>
        </w:rPr>
        <w:t>号市民服务中心</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号楼惠州市公共资源交易中心一楼大厅</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号土地与矿业交易窗口，电话：</w:t>
      </w:r>
      <w:r>
        <w:rPr>
          <w:rFonts w:hint="default" w:ascii="仿宋" w:hAnsi="仿宋" w:eastAsia="仿宋" w:cs="仿宋"/>
          <w:color w:val="auto"/>
          <w:sz w:val="32"/>
          <w:szCs w:val="32"/>
          <w:highlight w:val="none"/>
        </w:rPr>
        <w:t>0752-7121029</w:t>
      </w:r>
      <w:r>
        <w:rPr>
          <w:rFonts w:hint="eastAsia" w:ascii="仿宋" w:hAnsi="仿宋" w:eastAsia="仿宋" w:cs="仿宋"/>
          <w:color w:val="auto"/>
          <w:sz w:val="32"/>
          <w:szCs w:val="32"/>
          <w:highlight w:val="none"/>
        </w:rPr>
        <w:t>）申请办理。数字证书的办理流程详见</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系统上的《数字证书办理指南》。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（四）申请竞买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办理好数字证书的申请人决定参加本宗地网上挂牌竞买的，应按</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系统要求填写真实有效的申请人身份等信息并在</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竞买保证金是申请人参加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活动的资格条件。按规定将竞买保证金汇入指定账户，是参加</w:t>
      </w:r>
      <w:r>
        <w:rPr>
          <w:rFonts w:hint="eastAsia" w:ascii="仿宋" w:hAnsi="仿宋" w:eastAsia="仿宋" w:cs="仿宋"/>
          <w:color w:val="auto"/>
          <w:sz w:val="32"/>
          <w:szCs w:val="32"/>
          <w:highlight w:val="none"/>
          <w:lang w:val="en-US" w:eastAsia="zh-CN"/>
        </w:rPr>
        <w:t>网上挂牌交易</w:t>
      </w:r>
      <w:r>
        <w:rPr>
          <w:rFonts w:hint="eastAsia" w:ascii="仿宋" w:hAnsi="仿宋" w:eastAsia="仿宋" w:cs="仿宋"/>
          <w:color w:val="auto"/>
          <w:sz w:val="32"/>
          <w:szCs w:val="32"/>
          <w:highlight w:val="none"/>
        </w:rPr>
        <w:t>活动的必经程序。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竞买人应当提前交纳竞买保证金以确保在到账截止时间前到账，超过到账截止时间的保证金，</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竞买保证金到账时间以</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系统确认并发出《竞买保证金到账通知书》为准。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竞买保证金开户单位：惠州市公共资源交易中心</w:t>
      </w:r>
      <w:r>
        <w:rPr>
          <w:rFonts w:hint="eastAsia" w:ascii="仿宋" w:hAnsi="仿宋" w:eastAsia="仿宋" w:cs="仿宋"/>
          <w:color w:val="auto"/>
          <w:sz w:val="32"/>
          <w:szCs w:val="32"/>
          <w:highlight w:val="none"/>
          <w:lang w:val="en-US" w:eastAsia="zh-CN"/>
        </w:rPr>
        <w:t>大亚湾分中心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竞买保证金账号：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随机产生竞买保证金支付账号。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（1）中国银行惠州大亚湾支行；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（2）中国工商银行惠州大亚湾支行；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（3）中国农业银行惠州大亚湾支行；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（4）惠州农商银行大亚湾支行；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（5）中国建设银行股份有限公司惠州大亚湾支行；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（6）交通银行惠州大亚湾支行；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（7）珠海华润银行股份有限公司惠州大亚湾支行</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兴业银行股份有限公司惠州分行。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申请人应根据</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生成的随机保证金账号按时足额交纳竞买保证金，并在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确认竞买保证金到账之后，赋予竞买人对应宗地的竞买报价权限。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竞买人通过</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）增价方式进行报价；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）竞买人可多次报价；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）初次报价不得低于起始价；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）每次报价应当比当前最高报价至少递增</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个增价幅度。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竞买人应当谨慎报价，报价一经提交并经</w:t>
      </w:r>
      <w:r>
        <w:rPr>
          <w:rFonts w:hint="eastAsia" w:ascii="仿宋" w:hAnsi="仿宋" w:eastAsia="仿宋" w:cs="仿宋"/>
          <w:color w:val="auto"/>
          <w:sz w:val="32"/>
          <w:szCs w:val="32"/>
          <w:highlight w:val="none"/>
          <w:lang w:eastAsia="zh-CN"/>
        </w:rPr>
        <w:t>电子交易系</w:t>
      </w:r>
      <w:r>
        <w:rPr>
          <w:rFonts w:hint="eastAsia" w:ascii="仿宋" w:hAnsi="仿宋" w:eastAsia="仿宋" w:cs="仿宋"/>
          <w:color w:val="auto"/>
          <w:sz w:val="32"/>
          <w:szCs w:val="32"/>
          <w:highlight w:val="none"/>
        </w:rPr>
        <w:t>系统确认为有效报价，不可撤回。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电子限时竞价是指在挂牌出让公告规定的电子挂牌交易期限截止时，有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个以上的竞买人报价，且经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分钟内限时决定是否愿意继续报价</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有竞买人愿意继续报价的，</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以高于当前最高报价一个增价幅度的价格为起始价，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开始第一次</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分钟倒计时限时报价，如在</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分钟内的任一时点有新的有效报价，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即从此时点起重新计算</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分钟的限时报价时间，供竞买人作新一轮报价，并按此方式不断顺延下去</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直至</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分钟限时报价时间内没有新的有效报价，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将自动关闭报价通道，确认当前最高报价为最终报价，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即时显示电子挂牌竞价结果。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竞买人应当在电子挂牌交易期限截止前登录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，密切关注交易动态。竞买人应当在电子挂牌交易时限截止后</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分钟内做出是否参加电子限时竞价的决定并提交</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，超过</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分钟未提交的，</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在电子挂牌交易期限内只有</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电子挂牌交易期限内无报价的，挂牌不成交；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（八）成交候选人竞买资格审查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电子挂牌交易结束后，电子挂牌竞价结果即时通过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（九）公布交易结果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委托人确定竞得人后，由本中心通过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（十）签订成交确认书和交易合同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确定竞得人后，竞得人按挂牌出让公告规定的时间与委托人、本中心签订《国有建设用地使用权网上挂牌成交确认书》（以下简称</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成交确认书</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六、系统操作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竞买人操作视频可在本中心</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下载。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（二）联合申请竞买的，联合竞买人在提交竞买申请材料时，须提交联合竞买申请书和协议，协议主要规定联合各方的权利和义务、参与竞买的代表人、联合各方的出资比例等。</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竞得人应按挂牌出让公告规定的时间与本中心、委托人签订成交确认书，根据成交确认书约定的时间与委托人签订出让合同，并按合同约定支付成交价款。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本中心受托提供代收代退竞买保证金服务，未竞得人缴纳的竞买保证金（以人民币缴纳的竞买保证金）将于电子挂牌交易活动结束之日起</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个工作日内原路退还保证金，不计利息。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竞得人交纳的竞买保证金转付成交价款，办理转付成交价款手续应带齐如下相关资料：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.关于将竞买保证金转为土地成交价款的申请</w:t>
      </w:r>
      <w:r>
        <w:rPr>
          <w:rFonts w:hint="eastAsia" w:ascii="仿宋" w:hAnsi="仿宋" w:eastAsia="仿宋" w:cs="仿宋"/>
          <w:color w:val="auto"/>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.惠州市非税收入缴款通知；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竞价结果通知书；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（六）为避免网络延迟问题，竞买人首次报价应在网上挂牌截止前</w:t>
      </w:r>
      <w:r>
        <w:rPr>
          <w:rFonts w:hint="default" w:ascii="仿宋" w:hAnsi="仿宋" w:eastAsia="仿宋" w:cs="仿宋"/>
          <w:color w:val="auto"/>
          <w:sz w:val="32"/>
          <w:szCs w:val="32"/>
          <w:highlight w:val="none"/>
        </w:rPr>
        <w:t>10</w:t>
      </w:r>
      <w:r>
        <w:rPr>
          <w:rFonts w:hint="eastAsia" w:ascii="仿宋" w:hAnsi="仿宋" w:eastAsia="仿宋" w:cs="仿宋"/>
          <w:color w:val="auto"/>
          <w:sz w:val="32"/>
          <w:szCs w:val="32"/>
          <w:highlight w:val="none"/>
        </w:rPr>
        <w:t>分钟提交，以防止</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无法及时接收到报价的情况发生。</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、电子交易系统受到黑客、病毒恶意攻击的；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（十二）竞买须知及挂牌出让公告涉及的时间期限，以</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服务器的时间为准。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（十三）本中心对本竞买须知有解释权。未尽事宜依照《招标拍卖挂牌出让国有土地使用权规范》办理。</w:t>
      </w:r>
    </w:p>
    <w:p>
      <w:pPr>
        <w:pStyle w:val="4"/>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4"/>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4"/>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auto"/>
          <w:sz w:val="31"/>
          <w:szCs w:val="31"/>
          <w:lang w:val="en-US" w:eastAsia="zh-CN"/>
        </w:rPr>
        <w:t xml:space="preserve">   </w:t>
      </w:r>
      <w:r>
        <w:rPr>
          <w:rFonts w:hint="eastAsia" w:ascii="仿宋" w:hAnsi="仿宋" w:eastAsia="仿宋" w:cs="仿宋"/>
          <w:b w:val="0"/>
          <w:bCs w:val="0"/>
          <w:color w:val="auto"/>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11</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20</w:t>
      </w:r>
      <w:bookmarkStart w:id="0" w:name="_GoBack"/>
      <w:bookmarkEnd w:id="0"/>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2244C5B"/>
    <w:rsid w:val="026E02DF"/>
    <w:rsid w:val="02BD028F"/>
    <w:rsid w:val="03866911"/>
    <w:rsid w:val="05D157F8"/>
    <w:rsid w:val="06A94F3B"/>
    <w:rsid w:val="06CD1D51"/>
    <w:rsid w:val="09794FD0"/>
    <w:rsid w:val="0AB1368A"/>
    <w:rsid w:val="0C9E4D0C"/>
    <w:rsid w:val="0CC25F44"/>
    <w:rsid w:val="12946D3F"/>
    <w:rsid w:val="195F4D12"/>
    <w:rsid w:val="1C351F2A"/>
    <w:rsid w:val="1DCA772D"/>
    <w:rsid w:val="1FD640CC"/>
    <w:rsid w:val="21914B24"/>
    <w:rsid w:val="241125A2"/>
    <w:rsid w:val="253A3592"/>
    <w:rsid w:val="2883697A"/>
    <w:rsid w:val="2B011625"/>
    <w:rsid w:val="2E400F3C"/>
    <w:rsid w:val="31AF1283"/>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4627E62"/>
    <w:rsid w:val="45053C80"/>
    <w:rsid w:val="487B6036"/>
    <w:rsid w:val="48D60A0C"/>
    <w:rsid w:val="4AC152C1"/>
    <w:rsid w:val="54E92E78"/>
    <w:rsid w:val="55696E86"/>
    <w:rsid w:val="57B65F84"/>
    <w:rsid w:val="5B144AB0"/>
    <w:rsid w:val="5F80350C"/>
    <w:rsid w:val="64760CF8"/>
    <w:rsid w:val="6A3A4A8E"/>
    <w:rsid w:val="6B233666"/>
    <w:rsid w:val="6BAB560A"/>
    <w:rsid w:val="6FBF5299"/>
    <w:rsid w:val="70566167"/>
    <w:rsid w:val="780B4916"/>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layui-layer-tabnow"/>
    <w:basedOn w:val="6"/>
    <w:qFormat/>
    <w:uiPriority w:val="0"/>
    <w:rPr>
      <w:bdr w:val="single" w:color="CCCCCC" w:sz="6" w:space="0"/>
      <w:shd w:val="clear" w:fill="FFFFFF"/>
    </w:rPr>
  </w:style>
  <w:style w:type="character" w:customStyle="1" w:styleId="15">
    <w:name w:val="first-child"/>
    <w:basedOn w:val="6"/>
    <w:qFormat/>
    <w:uiPriority w:val="0"/>
  </w:style>
  <w:style w:type="character" w:customStyle="1" w:styleId="16">
    <w:name w:val="actspan"/>
    <w:basedOn w:val="6"/>
    <w:qFormat/>
    <w:uiPriority w:val="0"/>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2024-11-19T06:32:33Z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C836E997093748E3B482359C85357D32</vt:lpwstr>
  </property>
</Properties>
</file>