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bookmarkStart w:id="0" w:name="_GoBack"/>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]00</w:t>
      </w:r>
      <w:r>
        <w:rPr>
          <w:rFonts w:hint="eastAsia" w:ascii="宋体" w:hAnsi="宋体" w:eastAsia="宋体" w:cs="宋体"/>
          <w:color w:val="auto"/>
          <w:sz w:val="31"/>
          <w:szCs w:val="31"/>
          <w:lang w:val="en-US" w:eastAsia="zh-CN"/>
        </w:rPr>
        <w:t>1</w:t>
      </w:r>
      <w:r>
        <w:rPr>
          <w:rFonts w:hint="eastAsia" w:ascii="宋体" w:hAnsi="宋体" w:eastAsia="宋体" w:cs="宋体"/>
          <w:color w:val="auto"/>
          <w:sz w:val="31"/>
          <w:szCs w:val="31"/>
        </w:rPr>
        <w:t>号</w:t>
      </w:r>
    </w:p>
    <w:p>
      <w:pPr>
        <w:pStyle w:val="3"/>
        <w:keepNext w:val="0"/>
        <w:keepLines w:val="0"/>
        <w:widowControl/>
        <w:suppressLineNumbers w:val="0"/>
        <w:ind w:left="0" w:firstLine="645"/>
        <w:rPr>
          <w:color w:val="auto"/>
        </w:rPr>
      </w:pPr>
      <w:r>
        <w:rPr>
          <w:rFonts w:ascii="仿宋" w:hAnsi="仿宋" w:eastAsia="仿宋" w:cs="仿宋"/>
          <w:color w:val="auto"/>
          <w:sz w:val="31"/>
          <w:szCs w:val="31"/>
        </w:rPr>
        <w:t>一、</w:t>
      </w:r>
      <w:r>
        <w:rPr>
          <w:rFonts w:hint="eastAsia" w:ascii="仿宋" w:hAnsi="仿宋" w:eastAsia="仿宋" w:cs="仿宋"/>
          <w:color w:val="auto"/>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网上挂牌交易系统</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）参与电子挂牌交易的行为。本《惠州市国有建设用地使用权网上挂牌出让竞买须知》（以下简称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竞买须知</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）是具备法律约束力的重要文件，竞买人须详细阅读。</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二、本宗国有建设用地使用权网上挂牌出让遵循公开、公平、公正和诚实信用原则。</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仿宋" w:hAnsi="仿宋" w:eastAsia="仿宋" w:cs="仿宋"/>
          <w:color w:val="auto"/>
          <w:sz w:val="31"/>
          <w:szCs w:val="31"/>
        </w:rPr>
        <w:t>惠州市国有建设用地使用权网上挂牌出让公告（以下简称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挂牌出让公告</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）对竞买资格有特别要求的，以挂牌出让公告为准。</w:t>
      </w:r>
    </w:p>
    <w:p>
      <w:pPr>
        <w:pStyle w:val="3"/>
        <w:keepNext w:val="0"/>
        <w:keepLines w:val="0"/>
        <w:widowControl/>
        <w:numPr>
          <w:ilvl w:val="0"/>
          <w:numId w:val="0"/>
        </w:numPr>
        <w:suppressLineNumbers w:val="0"/>
        <w:ind w:right="0" w:rightChars="0" w:firstLine="620" w:firstLineChars="200"/>
        <w:rPr>
          <w:color w:val="auto"/>
        </w:rPr>
      </w:pPr>
      <w:r>
        <w:rPr>
          <w:rFonts w:ascii="仿宋" w:hAnsi="仿宋" w:eastAsia="仿宋" w:cs="仿宋"/>
          <w:color w:val="auto"/>
          <w:sz w:val="31"/>
          <w:szCs w:val="31"/>
        </w:rPr>
        <w:t>四、申请人对网上挂牌出让文件有疑问的，可在网上挂牌活动开始前以书面或者口头方式向</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r>
        <w:rPr>
          <w:rFonts w:hint="eastAsia" w:ascii="仿宋" w:hAnsi="仿宋" w:eastAsia="仿宋" w:cs="仿宋"/>
          <w:color w:val="auto"/>
          <w:sz w:val="31"/>
          <w:szCs w:val="31"/>
        </w:rPr>
        <w:t>（以下简称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交易中心</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p>
    <w:p>
      <w:pPr>
        <w:pStyle w:val="3"/>
        <w:keepNext w:val="0"/>
        <w:keepLines w:val="0"/>
        <w:widowControl/>
        <w:suppressLineNumbers w:val="0"/>
        <w:ind w:left="0" w:firstLine="645"/>
        <w:rPr>
          <w:color w:val="auto"/>
        </w:rPr>
      </w:pPr>
      <w:r>
        <w:rPr>
          <w:rFonts w:ascii="仿宋" w:hAnsi="仿宋" w:eastAsia="仿宋" w:cs="仿宋"/>
          <w:color w:val="auto"/>
          <w:sz w:val="31"/>
          <w:szCs w:val="31"/>
        </w:rPr>
        <w:t>五、网上挂牌交易程序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（一）发布网上挂牌信息</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有关宗地的电子挂牌出让公告等相关信息通过</w:t>
      </w:r>
      <w:r>
        <w:rPr>
          <w:rFonts w:hint="eastAsia" w:ascii="仿宋" w:hAnsi="仿宋" w:eastAsia="仿宋" w:cs="仿宋"/>
          <w:color w:val="auto"/>
          <w:sz w:val="31"/>
          <w:szCs w:val="31"/>
          <w:lang w:val="en-US" w:eastAsia="zh-CN"/>
        </w:rPr>
        <w:t>惠州市公共资源交易中心大亚湾分中心</w:t>
      </w:r>
      <w:r>
        <w:rPr>
          <w:rFonts w:hint="eastAsia" w:ascii="仿宋" w:hAnsi="仿宋" w:eastAsia="仿宋" w:cs="仿宋"/>
          <w:color w:val="auto"/>
          <w:sz w:val="31"/>
          <w:szCs w:val="31"/>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有意竞买者可登录网上挂牌交易系统网站</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查询。</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（二）挂牌文件获取</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申请人可在网上挂牌交易系统浏览和下载本宗地网上挂牌出让文件，具体包括：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、惠州市国有建设用地使用权网上挂牌出让公告；</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、惠州市国有建设用地使用权网上挂牌出让竞买须知；</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3</w:t>
      </w:r>
      <w:r>
        <w:rPr>
          <w:rFonts w:hint="eastAsia" w:ascii="仿宋" w:hAnsi="仿宋" w:eastAsia="仿宋" w:cs="仿宋"/>
          <w:color w:val="auto"/>
          <w:sz w:val="31"/>
          <w:szCs w:val="31"/>
        </w:rPr>
        <w:t>、挂牌出让地块现状图；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4</w:t>
      </w:r>
      <w:r>
        <w:rPr>
          <w:rFonts w:hint="eastAsia" w:ascii="仿宋" w:hAnsi="仿宋" w:eastAsia="仿宋" w:cs="仿宋"/>
          <w:color w:val="auto"/>
          <w:sz w:val="31"/>
          <w:szCs w:val="31"/>
        </w:rPr>
        <w:t>、建设用地红线界限图；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5</w:t>
      </w:r>
      <w:r>
        <w:rPr>
          <w:rFonts w:hint="eastAsia" w:ascii="仿宋" w:hAnsi="仿宋" w:eastAsia="仿宋" w:cs="仿宋"/>
          <w:color w:val="auto"/>
          <w:sz w:val="31"/>
          <w:szCs w:val="31"/>
        </w:rPr>
        <w:t>、《规划设计条件告知书》；</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6</w:t>
      </w:r>
      <w:r>
        <w:rPr>
          <w:rFonts w:hint="eastAsia" w:ascii="仿宋" w:hAnsi="仿宋" w:eastAsia="仿宋" w:cs="仿宋"/>
          <w:color w:val="auto"/>
          <w:sz w:val="31"/>
          <w:szCs w:val="31"/>
        </w:rPr>
        <w:t>、国有建设用地使用权网上挂牌成交确认书（样本）；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7</w:t>
      </w:r>
      <w:r>
        <w:rPr>
          <w:rFonts w:hint="eastAsia" w:ascii="仿宋" w:hAnsi="仿宋" w:eastAsia="仿宋" w:cs="仿宋"/>
          <w:color w:val="auto"/>
          <w:sz w:val="31"/>
          <w:szCs w:val="31"/>
        </w:rPr>
        <w:t>、国有建设用地使用权出让合同（样本）；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8</w:t>
      </w:r>
      <w:r>
        <w:rPr>
          <w:rFonts w:hint="eastAsia" w:ascii="仿宋" w:hAnsi="仿宋" w:eastAsia="仿宋" w:cs="仿宋"/>
          <w:color w:val="auto"/>
          <w:sz w:val="31"/>
          <w:szCs w:val="31"/>
        </w:rPr>
        <w:t>、其他相关文件。</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（三）办理数字证书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、本宗国有建设用地使用权网上挂牌出让只能在互联网上，通过网上挂牌交易系统（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 xml:space="preserve">）进行。只有通过网上注册、办理数字证书、按要求足额交付竞买保证金的申请人，才能参加网上挂牌交易活动。 </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、办理数字证书是参加本宗地网上挂牌出让活动的必经程序，申请人应当携带相关有效证件到广东省数字证书认证中心惠州办理点（地址：广东省惠州市惠城区三新北路</w:t>
      </w:r>
      <w:r>
        <w:rPr>
          <w:rFonts w:hint="default" w:ascii="Times New Roman" w:hAnsi="Times New Roman" w:cs="Times New Roman"/>
          <w:color w:val="auto"/>
          <w:sz w:val="31"/>
          <w:szCs w:val="31"/>
        </w:rPr>
        <w:t>31</w:t>
      </w:r>
      <w:r>
        <w:rPr>
          <w:rFonts w:hint="eastAsia" w:ascii="仿宋" w:hAnsi="仿宋" w:eastAsia="仿宋" w:cs="仿宋"/>
          <w:color w:val="auto"/>
          <w:sz w:val="31"/>
          <w:szCs w:val="31"/>
        </w:rPr>
        <w:t>号市民服务中心</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号楼惠州市公共资源交易中心一楼大厅</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号土地与矿业交易窗口，电话：</w:t>
      </w:r>
      <w:r>
        <w:rPr>
          <w:rFonts w:hint="default" w:ascii="Times New Roman" w:hAnsi="Times New Roman" w:cs="Times New Roman"/>
          <w:color w:val="auto"/>
          <w:sz w:val="31"/>
          <w:szCs w:val="31"/>
        </w:rPr>
        <w:t>0752-7121029</w:t>
      </w:r>
      <w:r>
        <w:rPr>
          <w:rFonts w:hint="eastAsia" w:ascii="仿宋" w:hAnsi="仿宋" w:eastAsia="仿宋" w:cs="仿宋"/>
          <w:color w:val="auto"/>
          <w:sz w:val="31"/>
          <w:szCs w:val="31"/>
        </w:rPr>
        <w:t>）申请办理。</w:t>
      </w:r>
    </w:p>
    <w:p>
      <w:pPr>
        <w:pStyle w:val="3"/>
        <w:keepNext w:val="0"/>
        <w:keepLines w:val="0"/>
        <w:widowControl/>
        <w:suppressLineNumbers w:val="0"/>
        <w:rPr>
          <w:color w:val="auto"/>
        </w:rPr>
      </w:pPr>
      <w:r>
        <w:rPr>
          <w:rFonts w:hint="eastAsia" w:ascii="仿宋" w:hAnsi="仿宋" w:eastAsia="仿宋" w:cs="仿宋"/>
          <w:color w:val="auto"/>
          <w:sz w:val="31"/>
          <w:szCs w:val="31"/>
        </w:rPr>
        <w:t>数字证书的办理流程详见网上挂牌交易系统上的《数字证书办理指南》。</w:t>
      </w:r>
    </w:p>
    <w:p>
      <w:pPr>
        <w:pStyle w:val="3"/>
        <w:keepNext w:val="0"/>
        <w:keepLines w:val="0"/>
        <w:widowControl/>
        <w:suppressLineNumbers w:val="0"/>
        <w:ind w:left="0" w:firstLine="645"/>
        <w:rPr>
          <w:color w:val="auto"/>
        </w:rPr>
      </w:pPr>
      <w:r>
        <w:rPr>
          <w:rFonts w:ascii="仿宋" w:hAnsi="仿宋" w:eastAsia="仿宋" w:cs="仿宋"/>
          <w:color w:val="auto"/>
          <w:sz w:val="31"/>
          <w:szCs w:val="31"/>
        </w:rPr>
        <w:t>（四）申请竞买</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竞买保证金到账时间以网上挂牌交易系统确认并发出《竞买保证金到账通知书》为准。</w:t>
      </w:r>
    </w:p>
    <w:p>
      <w:pPr>
        <w:pStyle w:val="3"/>
        <w:keepNext w:val="0"/>
        <w:keepLines w:val="0"/>
        <w:widowControl/>
        <w:suppressLineNumbers w:val="0"/>
        <w:ind w:left="0" w:firstLine="645"/>
        <w:rPr>
          <w:rFonts w:hint="default" w:ascii="仿宋" w:hAnsi="仿宋" w:eastAsia="仿宋" w:cs="仿宋"/>
          <w:color w:val="auto"/>
          <w:sz w:val="31"/>
          <w:szCs w:val="31"/>
          <w:lang w:val="en-US" w:eastAsia="zh-CN"/>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b/>
          <w:bCs/>
          <w:color w:val="auto"/>
          <w:sz w:val="31"/>
          <w:szCs w:val="31"/>
        </w:rPr>
        <w:t>竞买保证金开户单位：</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b/>
          <w:bCs/>
          <w:color w:val="auto"/>
          <w:sz w:val="31"/>
          <w:szCs w:val="31"/>
        </w:rPr>
        <w:t>竞买保证金账号：</w:t>
      </w:r>
      <w:r>
        <w:rPr>
          <w:rFonts w:hint="eastAsia" w:ascii="仿宋" w:hAnsi="仿宋" w:eastAsia="仿宋" w:cs="仿宋"/>
          <w:color w:val="auto"/>
          <w:sz w:val="31"/>
          <w:szCs w:val="31"/>
        </w:rPr>
        <w:t>网上挂牌交易系统随机产生竞买保证金支付账号。</w:t>
      </w:r>
    </w:p>
    <w:p>
      <w:pPr>
        <w:pStyle w:val="3"/>
        <w:keepNext w:val="0"/>
        <w:keepLines w:val="0"/>
        <w:widowControl/>
        <w:suppressLineNumbers w:val="0"/>
        <w:ind w:left="0" w:firstLine="645"/>
        <w:rPr>
          <w:rFonts w:hint="eastAsia" w:ascii="仿宋" w:hAnsi="仿宋" w:eastAsia="仿宋" w:cs="仿宋"/>
          <w:b/>
          <w:bCs/>
          <w:color w:val="auto"/>
          <w:sz w:val="31"/>
          <w:szCs w:val="31"/>
        </w:rPr>
      </w:pPr>
      <w:r>
        <w:rPr>
          <w:rFonts w:hint="eastAsia" w:ascii="仿宋" w:hAnsi="仿宋" w:eastAsia="仿宋" w:cs="仿宋"/>
          <w:b/>
          <w:bCs/>
          <w:color w:val="auto"/>
          <w:sz w:val="31"/>
          <w:szCs w:val="31"/>
        </w:rPr>
        <w:t>开户银行：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（1）中国银行惠州大亚湾支行；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（2）中国工商银行惠州大亚湾支行；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（3）中国农业银行惠州大亚湾支行；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（4）惠州农商银行大亚湾支行；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（5）中国建设银行股份有限公司惠州大亚湾支行；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（6）交通银行惠州大亚湾支行；</w:t>
      </w:r>
    </w:p>
    <w:p>
      <w:pPr>
        <w:pStyle w:val="3"/>
        <w:keepNext w:val="0"/>
        <w:keepLines w:val="0"/>
        <w:widowControl/>
        <w:suppressLineNumbers w:val="0"/>
        <w:ind w:left="0" w:firstLine="645"/>
        <w:rPr>
          <w:rFonts w:hint="eastAsia" w:ascii="仿宋" w:hAnsi="仿宋" w:eastAsia="仿宋" w:cs="仿宋"/>
          <w:color w:val="auto"/>
          <w:sz w:val="31"/>
          <w:szCs w:val="31"/>
          <w:lang w:eastAsia="zh-CN"/>
        </w:rPr>
      </w:pPr>
      <w:r>
        <w:rPr>
          <w:rFonts w:hint="eastAsia" w:ascii="仿宋" w:hAnsi="仿宋" w:eastAsia="仿宋" w:cs="仿宋"/>
          <w:color w:val="auto"/>
          <w:sz w:val="31"/>
          <w:szCs w:val="31"/>
        </w:rPr>
        <w:t>（7）珠海华润银行股份有限公司惠州大亚湾支行</w:t>
      </w:r>
      <w:r>
        <w:rPr>
          <w:rFonts w:hint="eastAsia" w:ascii="仿宋" w:hAnsi="仿宋" w:eastAsia="仿宋" w:cs="仿宋"/>
          <w:color w:val="auto"/>
          <w:sz w:val="31"/>
          <w:szCs w:val="31"/>
          <w:lang w:eastAsia="zh-CN"/>
        </w:rPr>
        <w:t>；</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兴业银行股份有限公司惠州分行。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仿宋" w:hAnsi="仿宋" w:eastAsia="仿宋" w:cs="仿宋"/>
          <w:color w:val="auto"/>
          <w:sz w:val="31"/>
          <w:szCs w:val="31"/>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（六）竞买人电子报价及电子限时竞价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）增价方式进行报价；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）竞买人可多次报价；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）初次报价不得低于起始价；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4</w:t>
      </w:r>
      <w:r>
        <w:rPr>
          <w:rFonts w:hint="eastAsia" w:ascii="仿宋" w:hAnsi="仿宋" w:eastAsia="仿宋" w:cs="仿宋"/>
          <w:color w:val="auto"/>
          <w:sz w:val="31"/>
          <w:szCs w:val="31"/>
        </w:rPr>
        <w:t>）每次增价数额应是规定的增价幅度的整数倍；</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）每次报价应当比当前最高报价至少递增</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个增价幅度。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电子限时竞价是指在挂牌出让公告规定的电子挂牌交易期限截止时，有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个以上的竞买人报价，且经网上挂牌交易系统询问，</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分钟内限时决定是否愿意继续报价</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有竞买人愿意继续报价的，网上挂牌交易系统以高于当前最高报价一个增价幅度的价格为起始价，网上挂牌交易系统开始第一次</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分钟倒计时限时报价，如在</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分钟内的任一时点有新的有效报价，网上挂牌交易系统即从此时点起重新计算</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分钟的限时报价时间，供竞买人作新一轮报价，并按此方式不断顺延下去</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直至</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ascii="仿宋" w:hAnsi="仿宋" w:eastAsia="仿宋" w:cs="仿宋"/>
          <w:color w:val="auto"/>
          <w:sz w:val="31"/>
          <w:szCs w:val="31"/>
        </w:rPr>
        <w:t>竞买人应当在电子挂牌交易期限截止前登录网上挂牌交易系统，密切关注交易动态。竞买人应当在电子挂牌交易时限截止后</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分钟内做出是否参加电子限时竞价的决定并提交网上挂牌交易系统，超过</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（七）确定成交候选人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在电子挂牌交易期限内只有</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个竞买人报价，且报价不低于起始价的，则该报价者为成交候选人；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（八）成交候选人竞买资格审查</w:t>
      </w:r>
    </w:p>
    <w:p>
      <w:pPr>
        <w:pStyle w:val="3"/>
        <w:keepNext w:val="0"/>
        <w:keepLines w:val="0"/>
        <w:widowControl/>
        <w:suppressLineNumbers w:val="0"/>
        <w:ind w:firstLine="620" w:firstLineChars="200"/>
        <w:rPr>
          <w:color w:val="auto"/>
        </w:rPr>
      </w:pPr>
      <w:r>
        <w:rPr>
          <w:rFonts w:hint="eastAsia" w:ascii="仿宋" w:hAnsi="仿宋" w:eastAsia="仿宋" w:cs="仿宋"/>
          <w:color w:val="auto"/>
          <w:sz w:val="31"/>
          <w:szCs w:val="31"/>
        </w:rPr>
        <w:t>本宗国有建设用地使用权网上挂牌出让实行竞买资格后置审查。</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不符合竞买资格的，取消成交候选人资格，竞价结果无效。</w:t>
      </w:r>
    </w:p>
    <w:p>
      <w:pPr>
        <w:pStyle w:val="3"/>
        <w:keepNext w:val="0"/>
        <w:keepLines w:val="0"/>
        <w:widowControl/>
        <w:suppressLineNumbers w:val="0"/>
        <w:ind w:left="0" w:firstLine="645"/>
        <w:rPr>
          <w:color w:val="auto"/>
        </w:rPr>
      </w:pPr>
      <w:r>
        <w:rPr>
          <w:rFonts w:ascii="仿宋" w:hAnsi="仿宋" w:eastAsia="仿宋" w:cs="仿宋"/>
          <w:color w:val="auto"/>
          <w:sz w:val="31"/>
          <w:szCs w:val="31"/>
        </w:rPr>
        <w:t>（九）公布交易结果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确定竞得人后，竞得人按挂牌出让公告规定的时间与委托人、本中心签订《国有建设用地使用权网上挂牌成交确认书》（以下简称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成交确认书</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），竞得人根据成交确认书约定的时间与委托人签订交易合同。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六、系统操作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网上挂牌交易系统竞买人操作视频可在本中心网上挂牌交易系统（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）下载。</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七、注意事项</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七、注意事项</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w:t>
      </w:r>
      <w:r>
        <w:rPr>
          <w:rFonts w:ascii="仿宋" w:hAnsi="仿宋" w:eastAsia="仿宋" w:cs="仿宋"/>
          <w:color w:val="auto"/>
          <w:sz w:val="31"/>
          <w:szCs w:val="31"/>
        </w:rPr>
        <w:t>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color w:val="auto"/>
        </w:rPr>
      </w:pPr>
      <w:r>
        <w:rPr>
          <w:rFonts w:ascii="仿宋" w:hAnsi="仿宋" w:eastAsia="仿宋" w:cs="仿宋"/>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仿宋" w:hAnsi="仿宋" w:eastAsia="仿宋" w:cs="仿宋"/>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numPr>
          <w:ilvl w:val="0"/>
          <w:numId w:val="1"/>
        </w:numPr>
        <w:suppressLineNumbers w:val="0"/>
        <w:ind w:left="0" w:firstLine="645"/>
        <w:rPr>
          <w:rFonts w:hint="eastAsia" w:ascii="仿宋" w:hAnsi="仿宋" w:eastAsia="仿宋" w:cs="仿宋"/>
          <w:color w:val="auto"/>
          <w:sz w:val="31"/>
          <w:szCs w:val="31"/>
        </w:rPr>
      </w:pPr>
      <w:r>
        <w:rPr>
          <w:rFonts w:ascii="仿宋" w:hAnsi="仿宋" w:eastAsia="仿宋" w:cs="仿宋"/>
          <w:color w:val="auto"/>
          <w:sz w:val="31"/>
          <w:szCs w:val="31"/>
        </w:rPr>
        <w:t>本中心受托提供代收代退竞买保证金服务，未竞得人缴纳的竞买保证金</w:t>
      </w:r>
      <w:r>
        <w:rPr>
          <w:rFonts w:hint="eastAsia" w:ascii="仿宋" w:hAnsi="仿宋" w:eastAsia="仿宋" w:cs="仿宋"/>
          <w:color w:val="auto"/>
          <w:sz w:val="31"/>
          <w:szCs w:val="31"/>
        </w:rPr>
        <w:t>（以人民币缴纳的竞买保证金）将于电子挂牌交易活动结束之日起</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个工作日内通过网上退还的形式原路退还保证金，不计利息。</w:t>
      </w:r>
    </w:p>
    <w:p>
      <w:pPr>
        <w:pStyle w:val="3"/>
        <w:keepNext w:val="0"/>
        <w:keepLines w:val="0"/>
        <w:widowControl/>
        <w:numPr>
          <w:ilvl w:val="0"/>
          <w:numId w:val="0"/>
        </w:numPr>
        <w:suppressLineNumbers w:val="0"/>
        <w:ind w:right="0" w:rightChars="0" w:firstLine="620" w:firstLineChars="200"/>
        <w:rPr>
          <w:color w:val="auto"/>
        </w:rPr>
      </w:pPr>
      <w:r>
        <w:rPr>
          <w:rFonts w:hint="eastAsia" w:ascii="仿宋" w:hAnsi="仿宋" w:eastAsia="仿宋" w:cs="仿宋"/>
          <w:color w:val="auto"/>
          <w:sz w:val="31"/>
          <w:szCs w:val="31"/>
        </w:rPr>
        <w:t>竞得人交纳的竞买保证金转付成交价款，办理转付成交价款手续应带齐如下相关资料：</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1</w:t>
      </w:r>
      <w:r>
        <w:rPr>
          <w:rFonts w:hint="eastAsia" w:ascii="仿宋" w:hAnsi="仿宋" w:eastAsia="仿宋" w:cs="仿宋"/>
          <w:color w:val="auto"/>
          <w:sz w:val="31"/>
          <w:szCs w:val="31"/>
          <w:lang w:val="en-US" w:eastAsia="zh-CN"/>
        </w:rPr>
        <w:t>.关于将竞买保证金转为土地成交价款的申请</w:t>
      </w:r>
      <w:r>
        <w:rPr>
          <w:rFonts w:hint="eastAsia" w:ascii="仿宋" w:hAnsi="仿宋" w:eastAsia="仿宋" w:cs="仿宋"/>
          <w:color w:val="auto"/>
          <w:sz w:val="31"/>
          <w:szCs w:val="31"/>
        </w:rPr>
        <w:t>；</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银行端查询缴税凭证；</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竞价结果通知书；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保证金到账通知书；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保证金转账凭证。</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（六）为避免网络延迟问题，竞买人首次报价应在网上挂牌截止前</w:t>
      </w:r>
      <w:r>
        <w:rPr>
          <w:rFonts w:hint="default" w:ascii="Times New Roman" w:hAnsi="Times New Roman" w:cs="Times New Roman"/>
          <w:color w:val="auto"/>
          <w:sz w:val="31"/>
          <w:szCs w:val="31"/>
        </w:rPr>
        <w:t>10</w:t>
      </w:r>
      <w:r>
        <w:rPr>
          <w:rFonts w:hint="eastAsia" w:ascii="仿宋" w:hAnsi="仿宋" w:eastAsia="仿宋" w:cs="仿宋"/>
          <w:color w:val="auto"/>
          <w:sz w:val="31"/>
          <w:szCs w:val="31"/>
        </w:rPr>
        <w:t>分钟提交，以防止网上挂牌交易系统无法及时接收到报价的情况发生。</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6</w:t>
      </w:r>
      <w:r>
        <w:rPr>
          <w:rFonts w:hint="eastAsia" w:ascii="仿宋" w:hAnsi="仿宋" w:eastAsia="仿宋" w:cs="仿宋"/>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ascii="仿宋" w:hAnsi="仿宋" w:eastAsia="仿宋" w:cs="仿宋"/>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（十一）</w:t>
      </w:r>
      <w:r>
        <w:rPr>
          <w:rFonts w:hint="eastAsia" w:ascii="仿宋" w:hAnsi="仿宋" w:eastAsia="仿宋" w:cs="仿宋"/>
          <w:color w:val="auto"/>
          <w:sz w:val="31"/>
          <w:szCs w:val="31"/>
        </w:rPr>
        <w:t>挂牌出让公告、竞买须知及相关交易文件需要修改、补充时，将通过原挂牌出让公告发布渠道公告，不作另行通知。</w:t>
      </w:r>
    </w:p>
    <w:p>
      <w:pPr>
        <w:pStyle w:val="3"/>
        <w:keepNext w:val="0"/>
        <w:keepLines w:val="0"/>
        <w:widowControl/>
        <w:suppressLineNumbers w:val="0"/>
        <w:rPr>
          <w:color w:val="auto"/>
        </w:rPr>
      </w:pPr>
      <w:r>
        <w:rPr>
          <w:rFonts w:hint="default" w:ascii="Times New Roman" w:hAnsi="Times New Roman" w:cs="Times New Roman"/>
          <w:color w:val="auto"/>
          <w:sz w:val="31"/>
          <w:szCs w:val="31"/>
        </w:rPr>
        <w:t>    </w:t>
      </w:r>
      <w:r>
        <w:rPr>
          <w:rFonts w:hint="eastAsia" w:ascii="仿宋" w:hAnsi="仿宋" w:eastAsia="仿宋" w:cs="仿宋"/>
          <w:color w:val="auto"/>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（十二）竞买须知及</w:t>
      </w:r>
      <w:r>
        <w:rPr>
          <w:rFonts w:hint="eastAsia" w:ascii="仿宋" w:hAnsi="仿宋" w:eastAsia="仿宋" w:cs="仿宋"/>
          <w:color w:val="auto"/>
          <w:sz w:val="31"/>
          <w:szCs w:val="31"/>
        </w:rPr>
        <w:t>挂牌出让公告涉及的时间期限，以网上挂牌交易系统服务器的时间为准。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（十三）本中心对本《竞买须知》有解释权。未尽事宜依照《招标拍卖挂牌出让国有土地使用权规范》办理。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jc w:val="center"/>
        <w:rPr>
          <w:rFonts w:hint="eastAsia" w:ascii="仿宋" w:hAnsi="仿宋" w:eastAsia="仿宋" w:cs="仿宋"/>
          <w:b w:val="0"/>
          <w:bCs w:val="0"/>
          <w:color w:val="auto"/>
        </w:rPr>
      </w:pPr>
      <w:r>
        <w:rPr>
          <w:rFonts w:hint="eastAsia" w:ascii="仿宋" w:hAnsi="仿宋" w:eastAsia="仿宋" w:cs="仿宋"/>
          <w:b w:val="0"/>
          <w:bCs w:val="0"/>
          <w:color w:val="auto"/>
          <w:sz w:val="31"/>
          <w:szCs w:val="31"/>
        </w:rPr>
        <w:t>           202</w:t>
      </w:r>
      <w:r>
        <w:rPr>
          <w:rFonts w:hint="eastAsia" w:ascii="仿宋" w:hAnsi="仿宋" w:eastAsia="仿宋" w:cs="仿宋"/>
          <w:b w:val="0"/>
          <w:bCs w:val="0"/>
          <w:color w:val="auto"/>
          <w:sz w:val="31"/>
          <w:szCs w:val="31"/>
          <w:lang w:val="en-US" w:eastAsia="zh-CN"/>
        </w:rPr>
        <w:t>4</w:t>
      </w:r>
      <w:r>
        <w:rPr>
          <w:rFonts w:hint="eastAsia" w:ascii="仿宋" w:hAnsi="仿宋" w:eastAsia="仿宋" w:cs="仿宋"/>
          <w:b w:val="0"/>
          <w:bCs w:val="0"/>
          <w:color w:val="auto"/>
          <w:sz w:val="31"/>
          <w:szCs w:val="31"/>
        </w:rPr>
        <w:t>年</w:t>
      </w:r>
      <w:r>
        <w:rPr>
          <w:rFonts w:hint="eastAsia" w:ascii="仿宋" w:hAnsi="仿宋" w:eastAsia="仿宋" w:cs="仿宋"/>
          <w:b w:val="0"/>
          <w:bCs w:val="0"/>
          <w:color w:val="auto"/>
          <w:sz w:val="31"/>
          <w:szCs w:val="31"/>
          <w:lang w:val="en-US" w:eastAsia="zh-CN"/>
        </w:rPr>
        <w:t>1</w:t>
      </w:r>
      <w:r>
        <w:rPr>
          <w:rFonts w:hint="eastAsia" w:ascii="仿宋" w:hAnsi="仿宋" w:eastAsia="仿宋" w:cs="仿宋"/>
          <w:b w:val="0"/>
          <w:bCs w:val="0"/>
          <w:color w:val="auto"/>
          <w:sz w:val="31"/>
          <w:szCs w:val="31"/>
        </w:rPr>
        <w:t>月</w:t>
      </w:r>
      <w:r>
        <w:rPr>
          <w:rFonts w:hint="eastAsia" w:ascii="仿宋" w:hAnsi="仿宋" w:eastAsia="仿宋" w:cs="仿宋"/>
          <w:b w:val="0"/>
          <w:bCs w:val="0"/>
          <w:color w:val="auto"/>
          <w:sz w:val="31"/>
          <w:szCs w:val="31"/>
          <w:lang w:val="en-US" w:eastAsia="zh-CN"/>
        </w:rPr>
        <w:t>12</w:t>
      </w:r>
      <w:r>
        <w:rPr>
          <w:rFonts w:hint="eastAsia" w:ascii="仿宋" w:hAnsi="仿宋" w:eastAsia="仿宋" w:cs="仿宋"/>
          <w:b w:val="0"/>
          <w:bCs w:val="0"/>
          <w:color w:val="auto"/>
          <w:sz w:val="31"/>
          <w:szCs w:val="31"/>
        </w:rPr>
        <w:t>日</w:t>
      </w:r>
    </w:p>
    <w:p>
      <w:pPr>
        <w:rPr>
          <w:rFonts w:hint="eastAsia" w:ascii="仿宋" w:hAnsi="仿宋" w:eastAsia="仿宋" w:cs="仿宋"/>
          <w:color w:val="auto"/>
        </w:rPr>
      </w:pPr>
    </w:p>
    <w:p>
      <w:pPr>
        <w:rPr>
          <w:rFonts w:hint="eastAsia"/>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5D4C6"/>
    <w:multiLevelType w:val="singleLevel"/>
    <w:tmpl w:val="7DC5D4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9794FD0"/>
    <w:rsid w:val="0AB1368A"/>
    <w:rsid w:val="0C9E4D0C"/>
    <w:rsid w:val="1C351F2A"/>
    <w:rsid w:val="2883697A"/>
    <w:rsid w:val="32E546BE"/>
    <w:rsid w:val="39EE517D"/>
    <w:rsid w:val="3A2A03AB"/>
    <w:rsid w:val="3B755831"/>
    <w:rsid w:val="3E9E389B"/>
    <w:rsid w:val="44311B6B"/>
    <w:rsid w:val="45053C80"/>
    <w:rsid w:val="487B6036"/>
    <w:rsid w:val="6B233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2024-01-11T06:46:53Z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