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b/>
          <w:bCs/>
          <w:color w:val="auto"/>
          <w:w w:val="80"/>
        </w:rPr>
      </w:pPr>
      <w:r>
        <w:rPr>
          <w:rFonts w:hint="eastAsia" w:ascii="宋体" w:hAnsi="宋体" w:eastAsia="宋体" w:cs="宋体"/>
          <w:b/>
          <w:bCs/>
          <w:color w:val="auto"/>
          <w:w w:val="80"/>
          <w:sz w:val="43"/>
          <w:szCs w:val="43"/>
        </w:rPr>
        <w:t>惠州市国有建设用地使用权网上挂牌出让竞买须知</w:t>
      </w:r>
    </w:p>
    <w:p>
      <w:pPr>
        <w:pStyle w:val="3"/>
        <w:keepNext w:val="0"/>
        <w:keepLines w:val="0"/>
        <w:widowControl/>
        <w:suppressLineNumbers w:val="0"/>
        <w:ind w:left="0" w:firstLine="645"/>
        <w:jc w:val="center"/>
        <w:rPr>
          <w:rFonts w:hint="eastAsia" w:ascii="仿宋" w:hAnsi="仿宋" w:eastAsia="仿宋" w:cs="仿宋"/>
          <w:color w:val="auto"/>
          <w:sz w:val="30"/>
          <w:szCs w:val="30"/>
        </w:rPr>
      </w:pPr>
      <w:r>
        <w:rPr>
          <w:rFonts w:hint="eastAsia" w:ascii="仿宋" w:hAnsi="仿宋" w:eastAsia="仿宋" w:cs="仿宋"/>
          <w:color w:val="auto"/>
          <w:sz w:val="30"/>
          <w:szCs w:val="30"/>
        </w:rPr>
        <w:t>惠公易土大亚湾（知）[2023]00</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号</w:t>
      </w:r>
    </w:p>
    <w:p>
      <w:pPr>
        <w:pStyle w:val="3"/>
        <w:keepNext w:val="0"/>
        <w:keepLines w:val="0"/>
        <w:widowControl/>
        <w:suppressLineNumbers w:val="0"/>
        <w:ind w:left="0" w:firstLine="645"/>
        <w:jc w:val="left"/>
        <w:rPr>
          <w:rFonts w:hint="eastAsia" w:ascii="仿宋" w:hAnsi="仿宋" w:eastAsia="仿宋" w:cs="仿宋"/>
          <w:color w:val="auto"/>
          <w:sz w:val="30"/>
          <w:szCs w:val="30"/>
        </w:rPr>
      </w:pP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一、国有建设用地使用权网上挂牌出让，是指在惠州市公共资源交易平台发布挂牌出让公告和须知，竞买人通过惠州市公共资源交易中心（以下简称“交易中心”）土地与矿业网上挂牌交易系统（以下简称“网上挂牌交易系统”）参与电子挂牌交易的行为。本竞买须知是具备法律约束力的重要文件，竞买人须详细阅读。</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二、本宗国有建设用地使用权网上挂牌出让遵循公开、公平、公正和诚实信用原则。</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三、中华人民共和国境内外的法人和其他组织，符合竞买资格条件的,均可通过网上挂牌交易系统，申请参加电子挂牌交易活动，法律、法规另有规定的从其规定。</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挂牌出让公告对竞买资格有特别要求的，以挂牌出让公告为准。</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四、申请人对网上挂牌出让文件有疑问的，可在网上挂牌活动开始前以书面或者口头方式向交易中心咨询。有意竞买者可自行踏勘现场（可在网上挂牌交易系统查阅位置图和现状图）。</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五、网上挂牌交易程序</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（一）发布网上挂牌信息</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有关宗地的电子挂牌交易公告等相关信息通过交易中心门户网站、交易大厅的电子显示屏、中国土地市场网、广东省公共资源交易平台和网上挂牌交易系统等媒介同步发布。</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有意竞买者可登录网上挂牌交易系统网站(https://www.hzgtjy.com/)查询。</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（二）挂牌文件获取</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申请人可在网上挂牌交易系统浏览和下载本宗地网上挂牌出让文件，具体包括：</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惠州市国有建设用地使用权网上挂牌出让公告（以下简称“出让公告”）；</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惠州市国有建设用地使用权网上挂牌出让竞买须知（以下简称“竞买须知”）；</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挂牌出让地块现状图；</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红线图；</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《规划设计条件告知书》；</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6</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《国有建设用地使用权网上挂牌成交确认书</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样本</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》（以下简称“成交确认书”）；</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7</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《国有建设用地使用权出让合同（样本）》（以下简称“出让合同”）；</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8</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其他相关文件。</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（三）办理数字证书</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 xml:space="preserve">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数字证书的办理流程详见网上挂牌交易系统上的《数字证书办理指南》。</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（四）申请竞买</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（五）交纳竞买保证金并获得竞买报价权限</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跨地区或跨行转账的竞买人，需预足资金的在途时间，以免影响竞买人及时取得竞买报价权限。</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竞买保证金到账时间以网上挂牌交易系统确认并发出《保证金到账通知书》为准。</w:t>
      </w:r>
    </w:p>
    <w:p>
      <w:pPr>
        <w:pStyle w:val="3"/>
        <w:keepNext w:val="0"/>
        <w:keepLines w:val="0"/>
        <w:widowControl/>
        <w:suppressLineNumbers w:val="0"/>
        <w:ind w:left="0" w:firstLine="645"/>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竞买保证金开户单位：惠州市公共资源交易中心</w:t>
      </w:r>
      <w:r>
        <w:rPr>
          <w:rFonts w:hint="eastAsia" w:ascii="仿宋" w:hAnsi="仿宋" w:eastAsia="仿宋" w:cs="仿宋"/>
          <w:color w:val="auto"/>
          <w:sz w:val="30"/>
          <w:szCs w:val="30"/>
          <w:lang w:val="en-US" w:eastAsia="zh-CN"/>
        </w:rPr>
        <w:t>大亚湾分中心</w:t>
      </w:r>
    </w:p>
    <w:p>
      <w:pPr>
        <w:pStyle w:val="3"/>
        <w:keepNext w:val="0"/>
        <w:keepLines w:val="0"/>
        <w:widowControl/>
        <w:suppressLineNumbers w:val="0"/>
        <w:ind w:left="0" w:leftChars="0"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竞买保证金账号：网上挂牌交易系统随机产生竞买保证金支付账号。</w:t>
      </w:r>
    </w:p>
    <w:p>
      <w:pPr>
        <w:pStyle w:val="3"/>
        <w:keepNext w:val="0"/>
        <w:keepLines w:val="0"/>
        <w:widowControl/>
        <w:suppressLineNumbers w:val="0"/>
        <w:ind w:left="0" w:leftChars="0" w:firstLine="641" w:firstLineChars="213"/>
        <w:rPr>
          <w:rFonts w:hint="eastAsia" w:ascii="仿宋" w:hAnsi="仿宋" w:eastAsia="仿宋" w:cs="仿宋"/>
          <w:b/>
          <w:bCs/>
          <w:color w:val="auto"/>
          <w:sz w:val="30"/>
          <w:szCs w:val="30"/>
        </w:rPr>
      </w:pPr>
      <w:r>
        <w:rPr>
          <w:rFonts w:hint="eastAsia" w:ascii="仿宋" w:hAnsi="仿宋" w:eastAsia="仿宋" w:cs="仿宋"/>
          <w:b/>
          <w:bCs/>
          <w:color w:val="auto"/>
          <w:sz w:val="30"/>
          <w:szCs w:val="30"/>
        </w:rPr>
        <w:t>开户银行：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（1）中国银行惠州大亚湾支行；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（2）中国工商银行惠州大亚湾支行；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（3）中国农业银行惠州大亚湾支行；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（4）惠州农商银行大亚湾支行；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（5）中国建设银行股份有限公司惠州大亚湾支行；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（6）交通银行惠州大亚湾支行；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rPr>
        <w:t>（7）珠海华润银行股份有限公司惠州大亚湾支行</w:t>
      </w:r>
      <w:r>
        <w:rPr>
          <w:rFonts w:hint="eastAsia" w:ascii="仿宋" w:hAnsi="仿宋" w:eastAsia="仿宋" w:cs="仿宋"/>
          <w:color w:val="auto"/>
          <w:sz w:val="30"/>
          <w:szCs w:val="30"/>
          <w:lang w:eastAsia="zh-CN"/>
        </w:rPr>
        <w:t>；</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兴业银行股份有限公司惠州分行。</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6</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 xml:space="preserve">申请人应根据网上挂牌交易系统生成的随机保证金账号按时足额交纳竞买保证金，并在网上挂牌交易系统确认竞买保证金到账之后，赋予竞买人对应宗地的竞买报价权限。 </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（六）竞买人电子报价及电子限时竞价</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竞买人通过网上挂牌交易系统进行报价。电子报价和电子限时竞价按以下规则进行：</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（1）增价方式进行报价；</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（2）竞买人可多次报价；</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（3）初次报价不得低于起始价；</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（4）每次增价数额应是规定的增价幅度的整数倍；</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（5）每次报价应当比当前最高报价至少递增1个增价幅度。</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竞买人应当谨慎报价，报价一经提交并经网上挂牌交易系统确认为有效报价，不可撤回。</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电子挂牌交易期限截止前，竞买人应当进行至少一次有效报价，方有资格参加该宗地的电子限时竞价。</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（七）确定成交候选人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电子挂牌交易按照下列规则确定成交候选人：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在电子挂牌交易期限内只有1个竞买人报价，且报价不低于起始价的，则该报价者为成交候选人；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电子挂牌交易期限内有2个以上的竞买人报价，经网上挂牌交易系统询问，无竞买人愿意参加电子限时竞价的，以当前报价最高且报价不低于起始价者为成交候选人；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电子挂牌交易期限内无报价的，挂牌不成交；</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进入电子限时竞价，电子限时竞价中报价最高且报价不低于起始价者为成交候选人；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电子限时竞价中无竞买人报价的，以电子挂牌交易截止时报价最高且报价不低于起始价者为成交候选人。</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（八）成交候选人竞买资格审查</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本宗国有建设用地使用权网上挂牌出让实行竞买资格后置审查。</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不符合竞买资格的，取消成交候选人资格，竞价结果无效。</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（九）公布交易结果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委托人确定竞得人后，由本中心通过网上挂牌交易系统发布交易结果。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（十）签订成交确认书和交易合同</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确定竞得人后，竞得人按挂牌交易公告规定的时间与委托人、本中心签订成交确认书，竞得人根据成交确认书约定的时间与委托人签订</w:t>
      </w:r>
      <w:r>
        <w:rPr>
          <w:rFonts w:hint="eastAsia" w:ascii="仿宋" w:hAnsi="仿宋" w:eastAsia="仿宋" w:cs="仿宋"/>
          <w:color w:val="auto"/>
          <w:sz w:val="30"/>
          <w:szCs w:val="30"/>
          <w:lang w:val="en-US" w:eastAsia="zh-CN"/>
        </w:rPr>
        <w:t>出让</w:t>
      </w:r>
      <w:r>
        <w:rPr>
          <w:rFonts w:hint="eastAsia" w:ascii="仿宋" w:hAnsi="仿宋" w:eastAsia="仿宋" w:cs="仿宋"/>
          <w:color w:val="auto"/>
          <w:sz w:val="30"/>
          <w:szCs w:val="30"/>
        </w:rPr>
        <w:t>合同。</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六、系统操作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网上挂牌交易系统竞买人操作视频可在本中心网上挂牌交易系统（https://www.hzgtjy.com/）下载。</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七、注意事项</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（二）如对联合竞买申请人的开发资质条件有明确要求的，在审查联合竞买申请人资质时，以联合体内资质最低一方的资质确定竞买资格条件。</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境外成交候选人按照规定提交的有关身份证明及其他相关文件，应按规定由中华人民共和国驻该国、该地区大使馆或领事馆公证或认证；香港成</w:t>
      </w:r>
      <w:r>
        <w:rPr>
          <w:rFonts w:hint="eastAsia" w:ascii="仿宋" w:hAnsi="仿宋" w:eastAsia="仿宋" w:cs="仿宋"/>
          <w:color w:val="auto"/>
          <w:sz w:val="30"/>
          <w:szCs w:val="30"/>
          <w:lang w:val="en-US" w:eastAsia="zh-CN"/>
        </w:rPr>
        <w:t>A</w:t>
      </w:r>
      <w:r>
        <w:rPr>
          <w:rFonts w:hint="eastAsia" w:ascii="仿宋" w:hAnsi="仿宋" w:eastAsia="仿宋" w:cs="仿宋"/>
          <w:color w:val="auto"/>
          <w:sz w:val="30"/>
          <w:szCs w:val="30"/>
        </w:rPr>
        <w:t>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leftChars="0"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竞得人应按挂牌出让公告规定的时间与本中心、委托人签订成交确认书，根据成交确认书约定的时间与委托人签订出让合同，并按合同约定支付成交价款。</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（五）本中心受托提供代收代退竞买保证金服务，</w:t>
      </w:r>
      <w:r>
        <w:rPr>
          <w:rFonts w:hint="eastAsia" w:ascii="仿宋" w:hAnsi="仿宋" w:eastAsia="仿宋" w:cs="仿宋"/>
          <w:color w:val="auto"/>
          <w:sz w:val="30"/>
          <w:szCs w:val="30"/>
          <w:lang w:val="en-US" w:eastAsia="zh-CN"/>
        </w:rPr>
        <w:t>只接受</w:t>
      </w:r>
      <w:r>
        <w:rPr>
          <w:rFonts w:hint="eastAsia" w:ascii="仿宋" w:hAnsi="仿宋" w:eastAsia="仿宋" w:cs="仿宋"/>
          <w:color w:val="auto"/>
          <w:sz w:val="30"/>
          <w:szCs w:val="30"/>
        </w:rPr>
        <w:t>以人民币缴纳的竞买保证金</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未竞得人缴纳的竞买保证金将于电子挂牌交易活动结束之日起5个工作日内通过网上退还的形式原路退还保证金，不计利息。</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竞得人交纳的竞买保证金转付成交价款，办理转付成交价款手续应带齐如下相关资料：</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委托方开具的银行端查询缴税凭证；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委托方开具的惠州市非税收入缴款通知；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竞价结果通知书；</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保证金到账通知书；</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保证金转账凭证。</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电子交易系统受到黑客、病毒恶意攻击的；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电子交易系统发现有安全漏洞，有潜在泄密危险，无法保证电子交易信息安全和公平公正交易的；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政府有关行政主管部门及司法机关依法要求暂停、中止或终止交易的；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委托人书面通知交易中心要求暂停、中止或终止交易的；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6</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依法应当暂停、中止或终止交易的其他情形。</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（九）竞得人与委托人签订出让合同后，应当按出让合同约定支付网上挂牌成交价款。竞得人在</w:t>
      </w:r>
      <w:r>
        <w:rPr>
          <w:rFonts w:hint="eastAsia" w:ascii="仿宋" w:hAnsi="仿宋" w:eastAsia="仿宋" w:cs="仿宋"/>
          <w:color w:val="auto"/>
          <w:sz w:val="30"/>
          <w:szCs w:val="30"/>
          <w:lang w:eastAsia="zh-CN"/>
        </w:rPr>
        <w:t>签订出让合同</w:t>
      </w:r>
      <w:r>
        <w:rPr>
          <w:rFonts w:hint="eastAsia" w:ascii="仿宋" w:hAnsi="仿宋" w:eastAsia="仿宋" w:cs="仿宋"/>
          <w:color w:val="auto"/>
          <w:sz w:val="30"/>
          <w:szCs w:val="30"/>
        </w:rPr>
        <w:t>一个月内办理交地手续，凭《交地确认书》、《出让合同》（正本）和地价款交款凭证等申请办理土地初始登记，领取《不动产权证书》。</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（十）网上挂牌不成交的，由委托人重新组织挂牌出让。</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（十一）出让公告、竞买须知及相关交易文件需要修改、补充时，将通过原公告发布渠道公告，不作另行通知。</w:t>
      </w:r>
    </w:p>
    <w:p>
      <w:pPr>
        <w:pStyle w:val="3"/>
        <w:keepNext w:val="0"/>
        <w:keepLines w:val="0"/>
        <w:widowControl/>
        <w:suppressLineNumbers w:val="0"/>
        <w:rPr>
          <w:rFonts w:hint="eastAsia" w:ascii="仿宋" w:hAnsi="仿宋" w:eastAsia="仿宋" w:cs="仿宋"/>
          <w:color w:val="auto"/>
          <w:sz w:val="30"/>
          <w:szCs w:val="30"/>
        </w:rPr>
      </w:pPr>
      <w:r>
        <w:rPr>
          <w:rFonts w:hint="eastAsia" w:ascii="仿宋" w:hAnsi="仿宋" w:eastAsia="仿宋" w:cs="仿宋"/>
          <w:color w:val="auto"/>
          <w:sz w:val="30"/>
          <w:szCs w:val="30"/>
        </w:rPr>
        <w:t>  申请人应当及时关注该宗地的网上挂牌交易信息。本中心发出的修改、补充公告，与出让公告、竞买须知及相关交易文件具有同等效力。若与出让公告、竞买须知及相关交易文件有矛盾时，以日期在后者为准。</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（十二）本竞买须知及出让公告涉及的时间期限，以网上挂牌交易系统服务器的时间为准。</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（十三）本中心对本《须知》有解释权。未尽事宜依照《招标拍卖挂牌出让国有土地使用权规范》办理。</w:t>
      </w:r>
    </w:p>
    <w:p>
      <w:pPr>
        <w:pStyle w:val="3"/>
        <w:keepNext w:val="0"/>
        <w:keepLines w:val="0"/>
        <w:widowControl/>
        <w:suppressLineNumbers w:val="0"/>
        <w:ind w:left="0" w:leftChars="0" w:firstLine="1257" w:firstLineChars="419"/>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         惠州市公共资源交易中心</w:t>
      </w:r>
      <w:r>
        <w:rPr>
          <w:rFonts w:hint="eastAsia" w:ascii="仿宋" w:hAnsi="仿宋" w:eastAsia="仿宋" w:cs="仿宋"/>
          <w:color w:val="auto"/>
          <w:sz w:val="30"/>
          <w:szCs w:val="30"/>
          <w:lang w:val="en-US" w:eastAsia="zh-CN"/>
        </w:rPr>
        <w:t>大亚湾分中心</w:t>
      </w:r>
    </w:p>
    <w:p>
      <w:pPr>
        <w:pStyle w:val="3"/>
        <w:keepNext w:val="0"/>
        <w:keepLines w:val="0"/>
        <w:widowControl/>
        <w:suppressLineNumbers w:val="0"/>
        <w:ind w:left="0" w:leftChars="0" w:firstLine="1257" w:firstLineChars="419"/>
        <w:jc w:val="center"/>
        <w:rPr>
          <w:rFonts w:hint="eastAsia" w:ascii="仿宋" w:hAnsi="仿宋" w:eastAsia="仿宋" w:cs="仿宋"/>
          <w:color w:val="auto"/>
          <w:sz w:val="30"/>
          <w:szCs w:val="30"/>
        </w:rPr>
      </w:pPr>
      <w:r>
        <w:rPr>
          <w:rFonts w:hint="eastAsia" w:ascii="仿宋" w:hAnsi="仿宋" w:eastAsia="仿宋" w:cs="仿宋"/>
          <w:color w:val="auto"/>
          <w:sz w:val="30"/>
          <w:szCs w:val="30"/>
        </w:rPr>
        <w:t>           2023年</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31</w:t>
      </w:r>
      <w:bookmarkStart w:id="0" w:name="_GoBack"/>
      <w:bookmarkEnd w:id="0"/>
      <w:r>
        <w:rPr>
          <w:rFonts w:hint="eastAsia" w:ascii="仿宋" w:hAnsi="仿宋" w:eastAsia="仿宋" w:cs="仿宋"/>
          <w:color w:val="auto"/>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9794FD0"/>
    <w:rsid w:val="0C9E4D0C"/>
    <w:rsid w:val="13267D0B"/>
    <w:rsid w:val="1C351F2A"/>
    <w:rsid w:val="22321DF7"/>
    <w:rsid w:val="32E546BE"/>
    <w:rsid w:val="39EE517D"/>
    <w:rsid w:val="3A2A03AB"/>
    <w:rsid w:val="3E9E389B"/>
    <w:rsid w:val="44311B6B"/>
    <w:rsid w:val="4B22441C"/>
    <w:rsid w:val="4E5053EB"/>
    <w:rsid w:val="512815EE"/>
    <w:rsid w:val="5B6D2EB4"/>
    <w:rsid w:val="5D691E26"/>
    <w:rsid w:val="61884B0D"/>
    <w:rsid w:val="65303F46"/>
    <w:rsid w:val="6CB33031"/>
    <w:rsid w:val="79881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2023-10-30T07:34:49Z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C448113AA4604B9E937A0244BA19F92E</vt:lpwstr>
  </property>
</Properties>
</file>