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color w:val="auto"/>
        </w:rPr>
      </w:pPr>
      <w:bookmarkStart w:id="0" w:name="_GoBack"/>
      <w:bookmarkEnd w:id="0"/>
      <w:r>
        <w:rPr>
          <w:rFonts w:hint="eastAsia" w:ascii="宋体" w:hAnsi="宋体" w:eastAsia="宋体" w:cs="宋体"/>
          <w:color w:val="auto"/>
          <w:sz w:val="43"/>
          <w:szCs w:val="43"/>
        </w:rPr>
        <w:t>惠州市国有建设用地使用权</w:t>
      </w:r>
    </w:p>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网上挂牌出让竞买须知</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惠公易土</w:t>
      </w:r>
      <w:r>
        <w:rPr>
          <w:rFonts w:hint="eastAsia" w:ascii="宋体" w:hAnsi="宋体" w:eastAsia="宋体" w:cs="宋体"/>
          <w:color w:val="auto"/>
          <w:sz w:val="31"/>
          <w:szCs w:val="31"/>
          <w:lang w:val="en-US" w:eastAsia="zh-CN"/>
        </w:rPr>
        <w:t>大亚湾（知）</w:t>
      </w:r>
      <w:r>
        <w:rPr>
          <w:rFonts w:hint="eastAsia" w:ascii="宋体" w:hAnsi="宋体" w:eastAsia="宋体" w:cs="宋体"/>
          <w:color w:val="auto"/>
          <w:sz w:val="31"/>
          <w:szCs w:val="31"/>
        </w:rPr>
        <w:t xml:space="preserve"> [202</w:t>
      </w:r>
      <w:r>
        <w:rPr>
          <w:rFonts w:hint="eastAsia" w:ascii="宋体" w:hAnsi="宋体" w:eastAsia="宋体" w:cs="宋体"/>
          <w:color w:val="auto"/>
          <w:sz w:val="31"/>
          <w:szCs w:val="31"/>
          <w:lang w:val="en-US" w:eastAsia="zh-CN"/>
        </w:rPr>
        <w:t>3</w:t>
      </w:r>
      <w:r>
        <w:rPr>
          <w:rFonts w:hint="eastAsia" w:ascii="宋体" w:hAnsi="宋体" w:eastAsia="宋体" w:cs="宋体"/>
          <w:color w:val="auto"/>
          <w:sz w:val="31"/>
          <w:szCs w:val="31"/>
        </w:rPr>
        <w:t>]</w:t>
      </w:r>
      <w:r>
        <w:rPr>
          <w:rFonts w:hint="eastAsia" w:ascii="宋体" w:hAnsi="宋体" w:eastAsia="宋体" w:cs="宋体"/>
          <w:color w:val="auto"/>
          <w:sz w:val="31"/>
          <w:szCs w:val="31"/>
          <w:lang w:val="en-US" w:eastAsia="zh-CN"/>
        </w:rPr>
        <w:t>002</w:t>
      </w:r>
      <w:r>
        <w:rPr>
          <w:rFonts w:hint="eastAsia" w:ascii="宋体" w:hAnsi="宋体" w:eastAsia="宋体" w:cs="宋体"/>
          <w:color w:val="auto"/>
          <w:sz w:val="31"/>
          <w:szCs w:val="31"/>
        </w:rPr>
        <w:t>号</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 </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一、国有建设用地使用权网上挂牌出让，是指在惠州市公共资源交易平台发布挂牌出让公告和须知，竞买人通过惠州市公共资源交易中心（以下简称“交易中心”）土地与矿业网上挂牌交易系统（以下简称“网上挂牌交易系统”）参与电子挂牌交易的行为。本竞买须知是具备法律约束力的重要文件，竞买人须详细阅读。</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二、本宗国有建设用地使用权网上挂牌出让遵循公开、公平、公正和诚实信用原则。</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三、中华人民共和国境内外的法人和其他经济组织（除法律法规另有规定外），符合竞买资格的，均可通过网上挂牌交易系统，申请参加电子挂牌交易活动。</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挂牌出让公告对竞买资格有特别要求的，以挂牌出让公告为准。</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四、申请人对网上挂牌出让文件有疑问的，可在网上挂牌活动开始前以书面或者口头方式向交易中心咨询。有意竞买者可自行踏勘现场（可在网上挂牌交易系统查阅位置图和现状图）。</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五、网上挂牌交易程序</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（一）发布网上挂牌信息</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有关宗地的电子挂牌交易公告等相关信息通过交易中心门户网站、交易大厅的电子显示屏、中国土地市场网、广东省公共资源交易平台和网上挂牌交易系统等媒介同步发布。</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有意竞买者可登录网上挂牌交易系统网站(https://www.hzgtjy.com/)查询。</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（二）挂牌文件获取</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申请人可在网上挂牌交易系统浏览和下载本宗地网上挂牌出让文件，具体包括：</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惠州市国有建设用地使用权网上挂牌出让公告（以下简称“出让公告”）；</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惠州市国有建设用地使用权网上挂牌出让竞买须知（以下简称“竞买须知”）；</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3</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挂牌出让地块现状图；</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4</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红线图；</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5</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《规划设计条件告知书》；</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《国有建设用地使用权网上挂牌成交确认书》（以下简称“成交确认书”）样本；</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7</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《国有建设用地使用权出让合同》（以下简称“出让合同”）（样本）；</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8</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其他相关文件。</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（三）办理数字证书</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 xml:space="preserve">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数字证书的办理流程详见网上挂牌交易系统上的《数字证书办理指南》。</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（四）申请竞买</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（五）交纳竞买保证金并获得竞买报价权限</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3</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跨地区或跨行转账的竞买人，需预足资金的在途时间，以免影响竞买人及时取得竞买报价权限。</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4</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竞买保证金到账时间以网上挂牌交易系统确认并发出《保证金到账通知书》为准。</w:t>
      </w:r>
    </w:p>
    <w:p>
      <w:pPr>
        <w:pStyle w:val="3"/>
        <w:keepNext w:val="0"/>
        <w:keepLines w:val="0"/>
        <w:widowControl/>
        <w:suppressLineNumbers w:val="0"/>
        <w:ind w:left="0" w:firstLine="645"/>
        <w:rPr>
          <w:rFonts w:hint="default" w:ascii="宋体" w:hAnsi="宋体" w:eastAsia="宋体" w:cs="宋体"/>
          <w:color w:val="auto"/>
          <w:sz w:val="31"/>
          <w:szCs w:val="31"/>
          <w:lang w:val="en-US" w:eastAsia="zh-CN"/>
        </w:rPr>
      </w:pPr>
      <w:r>
        <w:rPr>
          <w:rFonts w:hint="eastAsia" w:ascii="宋体" w:hAnsi="宋体" w:eastAsia="宋体" w:cs="宋体"/>
          <w:color w:val="auto"/>
          <w:sz w:val="31"/>
          <w:szCs w:val="31"/>
        </w:rPr>
        <w:t>5</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竞买保证金开户单位：惠州市公共资源交易中心</w:t>
      </w:r>
      <w:r>
        <w:rPr>
          <w:rFonts w:hint="eastAsia" w:ascii="宋体" w:hAnsi="宋体" w:eastAsia="宋体" w:cs="宋体"/>
          <w:color w:val="auto"/>
          <w:sz w:val="31"/>
          <w:szCs w:val="31"/>
          <w:lang w:val="en-US" w:eastAsia="zh-CN"/>
        </w:rPr>
        <w:t>大亚湾分中心</w:t>
      </w:r>
    </w:p>
    <w:p>
      <w:pPr>
        <w:pStyle w:val="3"/>
        <w:keepNext w:val="0"/>
        <w:keepLines w:val="0"/>
        <w:widowControl/>
        <w:suppressLineNumbers w:val="0"/>
        <w:ind w:firstLine="930" w:firstLineChars="300"/>
        <w:rPr>
          <w:color w:val="auto"/>
        </w:rPr>
      </w:pPr>
      <w:r>
        <w:rPr>
          <w:rFonts w:hint="eastAsia" w:ascii="宋体" w:hAnsi="宋体" w:eastAsia="宋体" w:cs="宋体"/>
          <w:color w:val="auto"/>
          <w:sz w:val="31"/>
          <w:szCs w:val="31"/>
        </w:rPr>
        <w:t>竞买保证金账号：网上挂牌交易系统随机产生竞买保证金支付账号。</w:t>
      </w:r>
    </w:p>
    <w:p>
      <w:pPr>
        <w:pStyle w:val="3"/>
        <w:keepNext w:val="0"/>
        <w:keepLines w:val="0"/>
        <w:widowControl/>
        <w:suppressLineNumbers w:val="0"/>
        <w:ind w:left="0" w:firstLine="645"/>
        <w:rPr>
          <w:b/>
          <w:bCs/>
          <w:color w:val="auto"/>
        </w:rPr>
      </w:pPr>
      <w:r>
        <w:rPr>
          <w:rFonts w:hint="eastAsia" w:ascii="宋体" w:hAnsi="宋体" w:eastAsia="宋体" w:cs="宋体"/>
          <w:b/>
          <w:bCs/>
          <w:color w:val="auto"/>
          <w:sz w:val="31"/>
          <w:szCs w:val="31"/>
        </w:rPr>
        <w:t>开户银行：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（1）中国银行惠州大亚湾支行；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（2）中国工商银行惠州大亚湾支行；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（3）中国农业银行惠州大亚湾支行；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（4）惠州农商银行大亚湾支行；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（5）中国建设银行股份有限公司惠州大亚湾支行；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rPr>
      </w:pPr>
      <w:r>
        <w:rPr>
          <w:rFonts w:hint="eastAsia" w:ascii="宋体" w:hAnsi="宋体" w:eastAsia="宋体" w:cs="宋体"/>
          <w:color w:val="auto"/>
          <w:sz w:val="31"/>
          <w:szCs w:val="31"/>
        </w:rPr>
        <w:t>（6）交通银行惠州大亚湾支行；</w:t>
      </w:r>
    </w:p>
    <w:p>
      <w:pPr>
        <w:pStyle w:val="3"/>
        <w:keepNext w:val="0"/>
        <w:keepLines w:val="0"/>
        <w:widowControl/>
        <w:suppressLineNumbers w:val="0"/>
        <w:ind w:firstLine="930" w:firstLineChars="300"/>
        <w:jc w:val="left"/>
        <w:rPr>
          <w:rFonts w:hint="eastAsia" w:ascii="宋体" w:hAnsi="宋体" w:eastAsia="宋体" w:cs="宋体"/>
          <w:color w:val="auto"/>
          <w:sz w:val="31"/>
          <w:szCs w:val="31"/>
          <w:lang w:val="en-US" w:eastAsia="zh-CN"/>
        </w:rPr>
      </w:pPr>
      <w:r>
        <w:rPr>
          <w:rFonts w:hint="eastAsia" w:ascii="宋体" w:hAnsi="宋体" w:eastAsia="宋体" w:cs="宋体"/>
          <w:color w:val="auto"/>
          <w:sz w:val="31"/>
          <w:szCs w:val="31"/>
        </w:rPr>
        <w:t>（7）珠海华润银行股份有限公司惠州大亚湾支行</w:t>
      </w:r>
      <w:r>
        <w:rPr>
          <w:rFonts w:hint="eastAsia" w:ascii="宋体" w:hAnsi="宋体" w:eastAsia="宋体" w:cs="宋体"/>
          <w:color w:val="auto"/>
          <w:sz w:val="31"/>
          <w:szCs w:val="31"/>
          <w:lang w:eastAsia="zh-CN"/>
        </w:rPr>
        <w:t>。</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 xml:space="preserve">申请人应根据网上挂牌交易系统生成的随机保证金账号按时足额交纳竞买保证金，并在网上挂牌交易系统确认竞买保证金到账之后，赋予竞买人对应宗地的竞买报价权限。 </w:t>
      </w:r>
    </w:p>
    <w:p>
      <w:pPr>
        <w:pStyle w:val="3"/>
        <w:keepNext w:val="0"/>
        <w:keepLines w:val="0"/>
        <w:widowControl/>
        <w:suppressLineNumbers w:val="0"/>
        <w:ind w:left="0" w:firstLine="645"/>
        <w:jc w:val="left"/>
        <w:rPr>
          <w:rFonts w:hint="default" w:ascii="宋体" w:hAnsi="宋体" w:eastAsia="宋体" w:cs="宋体"/>
          <w:color w:val="auto"/>
          <w:sz w:val="31"/>
          <w:szCs w:val="31"/>
          <w:lang w:val="en-US" w:eastAsia="zh-CN"/>
        </w:rPr>
      </w:pPr>
      <w:r>
        <w:rPr>
          <w:rFonts w:hint="eastAsia" w:ascii="宋体" w:hAnsi="宋体" w:eastAsia="宋体" w:cs="宋体"/>
          <w:color w:val="auto"/>
          <w:sz w:val="31"/>
          <w:szCs w:val="31"/>
        </w:rPr>
        <w:t>（六）</w:t>
      </w:r>
      <w:r>
        <w:rPr>
          <w:rFonts w:hint="default" w:ascii="宋体" w:hAnsi="宋体" w:eastAsia="宋体" w:cs="宋体"/>
          <w:color w:val="auto"/>
          <w:sz w:val="31"/>
          <w:szCs w:val="31"/>
        </w:rPr>
        <w:t>网上挂牌报价</w:t>
      </w:r>
      <w:r>
        <w:rPr>
          <w:rFonts w:hint="default" w:ascii="宋体" w:hAnsi="宋体" w:eastAsia="宋体" w:cs="宋体"/>
          <w:color w:val="auto"/>
          <w:sz w:val="31"/>
          <w:szCs w:val="31"/>
          <w:lang w:val="en-US" w:eastAsia="zh-CN"/>
        </w:rPr>
        <w:t>及摇号</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color w:val="auto"/>
          <w:sz w:val="31"/>
          <w:szCs w:val="31"/>
        </w:rPr>
      </w:pPr>
      <w:r>
        <w:rPr>
          <w:rFonts w:hint="default" w:ascii="宋体" w:hAnsi="宋体" w:eastAsia="宋体" w:cs="宋体"/>
          <w:color w:val="auto"/>
          <w:sz w:val="31"/>
          <w:szCs w:val="31"/>
        </w:rPr>
        <w:t xml:space="preserve">    1</w:t>
      </w:r>
      <w:r>
        <w:rPr>
          <w:rFonts w:hint="eastAsia" w:ascii="宋体" w:hAnsi="宋体" w:eastAsia="宋体" w:cs="宋体"/>
          <w:color w:val="auto"/>
          <w:sz w:val="31"/>
          <w:szCs w:val="31"/>
          <w:lang w:val="en-US" w:eastAsia="zh-CN"/>
        </w:rPr>
        <w:t>.</w:t>
      </w:r>
      <w:r>
        <w:rPr>
          <w:rFonts w:hint="default" w:ascii="宋体" w:hAnsi="宋体" w:eastAsia="宋体" w:cs="宋体"/>
          <w:color w:val="auto"/>
          <w:sz w:val="31"/>
          <w:szCs w:val="31"/>
        </w:rPr>
        <w:t>网上挂牌交易从网上挂牌起始时间起开始接受报价。</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color w:val="auto"/>
          <w:sz w:val="31"/>
          <w:szCs w:val="31"/>
        </w:rPr>
      </w:pPr>
      <w:r>
        <w:rPr>
          <w:rFonts w:hint="default" w:ascii="宋体" w:hAnsi="宋体" w:eastAsia="宋体" w:cs="宋体"/>
          <w:color w:val="auto"/>
          <w:sz w:val="31"/>
          <w:szCs w:val="31"/>
        </w:rPr>
        <w:t xml:space="preserve">    2</w:t>
      </w:r>
      <w:r>
        <w:rPr>
          <w:rFonts w:hint="eastAsia" w:ascii="宋体" w:hAnsi="宋体" w:eastAsia="宋体" w:cs="宋体"/>
          <w:color w:val="auto"/>
          <w:sz w:val="31"/>
          <w:szCs w:val="31"/>
          <w:lang w:val="en-US" w:eastAsia="zh-CN"/>
        </w:rPr>
        <w:t>.</w:t>
      </w:r>
      <w:r>
        <w:rPr>
          <w:rFonts w:hint="default" w:ascii="宋体" w:hAnsi="宋体" w:eastAsia="宋体" w:cs="宋体"/>
          <w:color w:val="auto"/>
          <w:sz w:val="31"/>
          <w:szCs w:val="31"/>
        </w:rPr>
        <w:t>办理好数字证书、按时足额交付竞买保证金并经网上挂牌交易系统确认的竞买人通过网上挂牌交易系统进行报价。</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color w:val="auto"/>
          <w:sz w:val="31"/>
          <w:szCs w:val="31"/>
        </w:rPr>
      </w:pPr>
      <w:r>
        <w:rPr>
          <w:rFonts w:hint="default" w:ascii="宋体" w:hAnsi="宋体" w:eastAsia="宋体" w:cs="宋体"/>
          <w:color w:val="auto"/>
          <w:sz w:val="31"/>
          <w:szCs w:val="31"/>
        </w:rPr>
        <w:t xml:space="preserve">    3</w:t>
      </w:r>
      <w:r>
        <w:rPr>
          <w:rFonts w:hint="eastAsia" w:ascii="宋体" w:hAnsi="宋体" w:eastAsia="宋体" w:cs="宋体"/>
          <w:color w:val="auto"/>
          <w:sz w:val="31"/>
          <w:szCs w:val="31"/>
          <w:lang w:val="en-US" w:eastAsia="zh-CN"/>
        </w:rPr>
        <w:t>.</w:t>
      </w:r>
      <w:r>
        <w:rPr>
          <w:rFonts w:hint="default" w:ascii="宋体" w:hAnsi="宋体" w:eastAsia="宋体" w:cs="宋体"/>
          <w:color w:val="auto"/>
          <w:sz w:val="31"/>
          <w:szCs w:val="31"/>
        </w:rPr>
        <w:t>网上挂牌交易系统对符合规定的报价予以确认，并更新显示当前报价。</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color w:val="auto"/>
          <w:sz w:val="31"/>
          <w:szCs w:val="31"/>
        </w:rPr>
      </w:pPr>
      <w:r>
        <w:rPr>
          <w:rFonts w:hint="default" w:ascii="宋体" w:hAnsi="宋体" w:eastAsia="宋体" w:cs="宋体"/>
          <w:color w:val="auto"/>
          <w:sz w:val="31"/>
          <w:szCs w:val="31"/>
        </w:rPr>
        <w:t xml:space="preserve">    4</w:t>
      </w:r>
      <w:r>
        <w:rPr>
          <w:rFonts w:hint="eastAsia" w:ascii="宋体" w:hAnsi="宋体" w:eastAsia="宋体" w:cs="宋体"/>
          <w:color w:val="auto"/>
          <w:sz w:val="31"/>
          <w:szCs w:val="31"/>
          <w:lang w:val="en-US" w:eastAsia="zh-CN"/>
        </w:rPr>
        <w:t>.</w:t>
      </w:r>
      <w:r>
        <w:rPr>
          <w:rFonts w:hint="default" w:ascii="宋体" w:hAnsi="宋体" w:eastAsia="宋体" w:cs="宋体"/>
          <w:color w:val="auto"/>
          <w:sz w:val="31"/>
          <w:szCs w:val="31"/>
        </w:rPr>
        <w:t>网上挂牌交易系统继续接受新的报价</w:t>
      </w:r>
      <w:r>
        <w:rPr>
          <w:rFonts w:hint="default" w:ascii="宋体" w:hAnsi="宋体" w:eastAsia="宋体" w:cs="宋体"/>
          <w:color w:val="auto"/>
          <w:sz w:val="31"/>
          <w:szCs w:val="31"/>
          <w:lang w:eastAsia="zh-CN"/>
        </w:rPr>
        <w:t>，</w:t>
      </w:r>
      <w:r>
        <w:rPr>
          <w:rFonts w:hint="default" w:ascii="宋体" w:hAnsi="宋体" w:eastAsia="宋体" w:cs="宋体"/>
          <w:color w:val="auto"/>
          <w:sz w:val="31"/>
          <w:szCs w:val="31"/>
          <w:lang w:val="en-US" w:eastAsia="zh-CN"/>
        </w:rPr>
        <w:t>当地块竞价至最高限价时，转入摇号环节</w:t>
      </w:r>
      <w:r>
        <w:rPr>
          <w:rFonts w:hint="default" w:ascii="宋体" w:hAnsi="宋体" w:eastAsia="宋体" w:cs="宋体"/>
          <w:color w:val="auto"/>
          <w:sz w:val="31"/>
          <w:szCs w:val="31"/>
        </w:rPr>
        <w:t>。</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 w:val="31"/>
          <w:szCs w:val="31"/>
          <w:lang w:val="en-US" w:eastAsia="zh-CN"/>
        </w:rPr>
      </w:pPr>
      <w:r>
        <w:rPr>
          <w:rFonts w:hint="default" w:ascii="宋体" w:hAnsi="宋体" w:eastAsia="宋体" w:cs="宋体"/>
          <w:color w:val="auto"/>
          <w:sz w:val="31"/>
          <w:szCs w:val="31"/>
        </w:rPr>
        <w:t xml:space="preserve">    5</w:t>
      </w:r>
      <w:r>
        <w:rPr>
          <w:rFonts w:hint="eastAsia" w:ascii="宋体" w:hAnsi="宋体" w:eastAsia="宋体" w:cs="宋体"/>
          <w:color w:val="auto"/>
          <w:sz w:val="31"/>
          <w:szCs w:val="31"/>
          <w:lang w:val="en-US" w:eastAsia="zh-CN"/>
        </w:rPr>
        <w:t>.</w:t>
      </w:r>
      <w:r>
        <w:rPr>
          <w:rFonts w:hint="default" w:ascii="宋体" w:hAnsi="宋体" w:eastAsia="宋体" w:cs="宋体"/>
          <w:color w:val="auto"/>
          <w:sz w:val="31"/>
          <w:szCs w:val="31"/>
        </w:rPr>
        <w:t>网上挂牌报价</w:t>
      </w:r>
      <w:r>
        <w:rPr>
          <w:rFonts w:hint="default" w:ascii="宋体" w:hAnsi="宋体" w:eastAsia="宋体" w:cs="宋体"/>
          <w:color w:val="auto"/>
          <w:sz w:val="31"/>
          <w:szCs w:val="31"/>
          <w:lang w:val="en-US" w:eastAsia="zh-CN"/>
        </w:rPr>
        <w:t>及“限地价、摇号”</w:t>
      </w:r>
      <w:r>
        <w:rPr>
          <w:rFonts w:hint="default" w:ascii="宋体" w:hAnsi="宋体" w:eastAsia="宋体" w:cs="宋体"/>
          <w:color w:val="auto"/>
          <w:sz w:val="31"/>
          <w:szCs w:val="31"/>
        </w:rPr>
        <w:t>规则</w:t>
      </w:r>
      <w:r>
        <w:rPr>
          <w:rFonts w:hint="eastAsia" w:ascii="宋体" w:hAnsi="宋体" w:eastAsia="宋体" w:cs="宋体"/>
          <w:color w:val="auto"/>
          <w:sz w:val="31"/>
          <w:szCs w:val="31"/>
          <w:lang w:val="en-US" w:eastAsia="zh-CN"/>
        </w:rPr>
        <w:t>如下：</w:t>
      </w:r>
    </w:p>
    <w:p>
      <w:pPr>
        <w:spacing w:line="560" w:lineRule="exact"/>
        <w:ind w:left="0" w:leftChars="0" w:firstLine="418" w:firstLineChars="135"/>
        <w:jc w:val="both"/>
        <w:rPr>
          <w:rFonts w:hint="default" w:ascii="Times New Roman" w:hAnsi="Times New Roman" w:eastAsia="仿宋_GB2312" w:cs="Times New Roman"/>
          <w:color w:val="auto"/>
          <w:sz w:val="31"/>
          <w:szCs w:val="31"/>
          <w:highlight w:val="none"/>
          <w:u w:val="none"/>
          <w:lang w:val="en-US" w:eastAsia="zh-CN"/>
        </w:rPr>
      </w:pPr>
      <w:r>
        <w:rPr>
          <w:rFonts w:hint="eastAsia" w:ascii="Times New Roman" w:hAnsi="Times New Roman" w:eastAsia="仿宋_GB2312" w:cs="Times New Roman"/>
          <w:color w:val="auto"/>
          <w:sz w:val="31"/>
          <w:szCs w:val="31"/>
          <w:highlight w:val="none"/>
          <w:u w:val="none"/>
          <w:lang w:val="en-US" w:eastAsia="zh-CN"/>
        </w:rPr>
        <w:t>（1）</w:t>
      </w:r>
      <w:r>
        <w:rPr>
          <w:rFonts w:hint="default" w:ascii="Times New Roman" w:hAnsi="Times New Roman" w:eastAsia="仿宋_GB2312" w:cs="Times New Roman"/>
          <w:color w:val="auto"/>
          <w:sz w:val="31"/>
          <w:szCs w:val="31"/>
          <w:highlight w:val="none"/>
          <w:u w:val="none"/>
          <w:lang w:val="en-US" w:eastAsia="zh-CN"/>
        </w:rPr>
        <w:t>本宗建设用地使用权网上挂牌采取“限地价、摇号”出让方式，竞买人以增价方式通过网上挂牌交易系统进行报价，当报价达到最高限价时，交易系统转入采取摇号方式确定竞得人。</w:t>
      </w:r>
    </w:p>
    <w:p>
      <w:pPr>
        <w:spacing w:line="560" w:lineRule="exact"/>
        <w:ind w:left="0" w:leftChars="0" w:firstLine="418" w:firstLineChars="135"/>
        <w:jc w:val="both"/>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（2）</w:t>
      </w:r>
      <w:r>
        <w:rPr>
          <w:rFonts w:hint="default" w:ascii="Times New Roman" w:hAnsi="Times New Roman" w:eastAsia="仿宋_GB2312" w:cs="Times New Roman"/>
          <w:color w:val="auto"/>
          <w:sz w:val="31"/>
          <w:szCs w:val="31"/>
          <w:highlight w:val="none"/>
          <w:u w:val="none"/>
        </w:rPr>
        <w:t>每次</w:t>
      </w:r>
      <w:r>
        <w:rPr>
          <w:rFonts w:hint="default" w:ascii="Times New Roman" w:hAnsi="Times New Roman" w:eastAsia="仿宋_GB2312" w:cs="Times New Roman"/>
          <w:color w:val="auto"/>
          <w:sz w:val="31"/>
          <w:szCs w:val="31"/>
          <w:highlight w:val="none"/>
          <w:u w:val="none"/>
          <w:lang w:val="en-US" w:eastAsia="zh-CN"/>
        </w:rPr>
        <w:t>增价</w:t>
      </w:r>
      <w:r>
        <w:rPr>
          <w:rFonts w:hint="default" w:ascii="Times New Roman" w:hAnsi="Times New Roman" w:eastAsia="仿宋_GB2312" w:cs="Times New Roman"/>
          <w:color w:val="auto"/>
          <w:sz w:val="31"/>
          <w:szCs w:val="31"/>
          <w:highlight w:val="none"/>
          <w:u w:val="none"/>
        </w:rPr>
        <w:t>幅度</w:t>
      </w:r>
      <w:r>
        <w:rPr>
          <w:rFonts w:hint="default" w:ascii="Times New Roman" w:hAnsi="Times New Roman" w:eastAsia="仿宋_GB2312" w:cs="Times New Roman"/>
          <w:color w:val="auto"/>
          <w:sz w:val="31"/>
          <w:szCs w:val="31"/>
          <w:highlight w:val="none"/>
          <w:u w:val="none"/>
          <w:lang w:val="en-US" w:eastAsia="zh-CN"/>
        </w:rPr>
        <w:t>应是本</w:t>
      </w:r>
      <w:r>
        <w:rPr>
          <w:rFonts w:hint="eastAsia" w:ascii="Times New Roman" w:hAnsi="Times New Roman" w:eastAsia="仿宋_GB2312" w:cs="Times New Roman"/>
          <w:color w:val="auto"/>
          <w:sz w:val="31"/>
          <w:szCs w:val="31"/>
          <w:highlight w:val="none"/>
          <w:u w:val="none"/>
          <w:lang w:val="en-US" w:eastAsia="zh-CN"/>
        </w:rPr>
        <w:t>项目公告</w:t>
      </w:r>
      <w:r>
        <w:rPr>
          <w:rFonts w:hint="default" w:ascii="Times New Roman" w:hAnsi="Times New Roman" w:eastAsia="仿宋_GB2312" w:cs="Times New Roman"/>
          <w:color w:val="auto"/>
          <w:sz w:val="31"/>
          <w:szCs w:val="31"/>
          <w:highlight w:val="none"/>
          <w:u w:val="none"/>
          <w:lang w:val="en-US" w:eastAsia="zh-CN"/>
        </w:rPr>
        <w:t>规定的增价幅度的整数倍</w:t>
      </w:r>
      <w:r>
        <w:rPr>
          <w:rFonts w:hint="default" w:ascii="Times New Roman" w:hAnsi="Times New Roman" w:eastAsia="仿宋_GB2312" w:cs="Times New Roman"/>
          <w:color w:val="auto"/>
          <w:sz w:val="31"/>
          <w:szCs w:val="31"/>
          <w:highlight w:val="none"/>
          <w:u w:val="none"/>
        </w:rPr>
        <w:t xml:space="preserve">。   </w:t>
      </w:r>
    </w:p>
    <w:p>
      <w:pPr>
        <w:spacing w:line="560" w:lineRule="exact"/>
        <w:ind w:left="0" w:leftChars="0" w:firstLine="418" w:firstLineChars="135"/>
        <w:jc w:val="both"/>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（3）</w:t>
      </w:r>
      <w:r>
        <w:rPr>
          <w:rFonts w:hint="default" w:ascii="Times New Roman" w:hAnsi="Times New Roman" w:eastAsia="仿宋_GB2312" w:cs="Times New Roman"/>
          <w:color w:val="auto"/>
          <w:sz w:val="31"/>
          <w:szCs w:val="31"/>
          <w:highlight w:val="none"/>
          <w:u w:val="none"/>
        </w:rPr>
        <w:t>竞买人可多次报价，首次报价不低于起始价。</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left="0" w:leftChars="0" w:firstLine="418" w:firstLineChars="135"/>
        <w:jc w:val="both"/>
        <w:textAlignment w:val="auto"/>
        <w:outlineLvl w:val="9"/>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（4）</w:t>
      </w:r>
      <w:r>
        <w:rPr>
          <w:rFonts w:hint="default" w:ascii="Times New Roman" w:hAnsi="Times New Roman" w:eastAsia="仿宋_GB2312" w:cs="Times New Roman"/>
          <w:color w:val="auto"/>
          <w:sz w:val="31"/>
          <w:szCs w:val="31"/>
          <w:highlight w:val="none"/>
          <w:u w:val="none"/>
        </w:rPr>
        <w:t>竞买人每次报价应当比当前最高报价至少递增一个增价幅度。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left="0" w:leftChars="0" w:firstLine="418" w:firstLineChars="135"/>
        <w:jc w:val="both"/>
        <w:textAlignment w:val="auto"/>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（5）</w:t>
      </w:r>
      <w:r>
        <w:rPr>
          <w:rFonts w:hint="default" w:ascii="Times New Roman" w:hAnsi="Times New Roman" w:eastAsia="仿宋_GB2312" w:cs="Times New Roman"/>
          <w:color w:val="auto"/>
          <w:sz w:val="31"/>
          <w:szCs w:val="31"/>
          <w:highlight w:val="none"/>
          <w:u w:val="none"/>
        </w:rPr>
        <w:t>竞买人应当谨慎报价，报价一经提交并经网上挂牌</w:t>
      </w:r>
      <w:r>
        <w:rPr>
          <w:rFonts w:hint="default" w:ascii="Times New Roman" w:hAnsi="Times New Roman" w:eastAsia="仿宋_GB2312" w:cs="Times New Roman"/>
          <w:color w:val="auto"/>
          <w:sz w:val="31"/>
          <w:szCs w:val="31"/>
          <w:highlight w:val="none"/>
          <w:u w:val="none"/>
          <w:lang w:val="en-US" w:eastAsia="zh-CN"/>
        </w:rPr>
        <w:t>交易</w:t>
      </w:r>
      <w:r>
        <w:rPr>
          <w:rFonts w:hint="default" w:ascii="Times New Roman" w:hAnsi="Times New Roman" w:eastAsia="仿宋_GB2312" w:cs="Times New Roman"/>
          <w:color w:val="auto"/>
          <w:sz w:val="31"/>
          <w:szCs w:val="31"/>
          <w:highlight w:val="none"/>
          <w:u w:val="none"/>
        </w:rPr>
        <w:t>系统确认为有效报价</w:t>
      </w:r>
      <w:r>
        <w:rPr>
          <w:rFonts w:hint="default" w:ascii="Times New Roman" w:hAnsi="Times New Roman" w:eastAsia="仿宋_GB2312" w:cs="Times New Roman"/>
          <w:color w:val="auto"/>
          <w:sz w:val="31"/>
          <w:szCs w:val="31"/>
          <w:highlight w:val="none"/>
          <w:u w:val="none"/>
          <w:lang w:val="en-US" w:eastAsia="zh-CN"/>
        </w:rPr>
        <w:t>的</w:t>
      </w:r>
      <w:r>
        <w:rPr>
          <w:rFonts w:hint="default" w:ascii="Times New Roman" w:hAnsi="Times New Roman" w:eastAsia="仿宋_GB2312" w:cs="Times New Roman"/>
          <w:color w:val="auto"/>
          <w:sz w:val="31"/>
          <w:szCs w:val="31"/>
          <w:highlight w:val="none"/>
          <w:u w:val="none"/>
        </w:rPr>
        <w:t>，不可撤回。</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firstLine="418" w:firstLineChars="135"/>
        <w:jc w:val="both"/>
        <w:textAlignment w:val="auto"/>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（6）</w:t>
      </w:r>
      <w:r>
        <w:rPr>
          <w:rFonts w:hint="default" w:ascii="Times New Roman" w:hAnsi="Times New Roman" w:eastAsia="仿宋_GB2312" w:cs="Times New Roman"/>
          <w:color w:val="auto"/>
          <w:sz w:val="31"/>
          <w:szCs w:val="31"/>
          <w:highlight w:val="none"/>
          <w:u w:val="none"/>
          <w:lang w:val="en-US" w:eastAsia="zh-CN"/>
        </w:rPr>
        <w:t>报价不能高于最高限价</w:t>
      </w:r>
      <w:r>
        <w:rPr>
          <w:rFonts w:hint="default" w:ascii="Times New Roman" w:hAnsi="Times New Roman" w:eastAsia="仿宋_GB2312" w:cs="Times New Roman"/>
          <w:color w:val="auto"/>
          <w:sz w:val="31"/>
          <w:szCs w:val="31"/>
          <w:highlight w:val="none"/>
          <w:u w:val="none"/>
        </w:rPr>
        <w:t>。</w:t>
      </w:r>
    </w:p>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firstLine="418" w:firstLineChars="135"/>
        <w:jc w:val="both"/>
        <w:textAlignment w:val="auto"/>
        <w:outlineLvl w:val="9"/>
        <w:rPr>
          <w:rFonts w:hint="default" w:ascii="Times New Roman" w:hAnsi="Times New Roman" w:eastAsia="仿宋_GB2312" w:cs="Times New Roman"/>
          <w:color w:val="auto"/>
          <w:kern w:val="2"/>
          <w:sz w:val="31"/>
          <w:szCs w:val="31"/>
          <w:highlight w:val="none"/>
          <w:u w:val="none"/>
          <w:lang w:val="en-US" w:eastAsia="zh-CN" w:bidi="ar-SA"/>
        </w:rPr>
      </w:pPr>
      <w:r>
        <w:rPr>
          <w:rFonts w:hint="eastAsia" w:ascii="Times New Roman" w:hAnsi="Times New Roman" w:eastAsia="仿宋_GB2312" w:cs="Times New Roman"/>
          <w:color w:val="auto"/>
          <w:sz w:val="31"/>
          <w:szCs w:val="31"/>
          <w:highlight w:val="none"/>
          <w:u w:val="none"/>
          <w:lang w:val="en-US" w:eastAsia="zh-CN"/>
        </w:rPr>
        <w:t>（7）</w:t>
      </w:r>
      <w:r>
        <w:rPr>
          <w:rFonts w:hint="default" w:ascii="Times New Roman" w:hAnsi="Times New Roman" w:eastAsia="仿宋_GB2312" w:cs="Times New Roman"/>
          <w:color w:val="auto"/>
          <w:sz w:val="31"/>
          <w:szCs w:val="31"/>
          <w:highlight w:val="none"/>
          <w:u w:val="none"/>
          <w:lang w:val="en-US" w:eastAsia="zh-CN"/>
        </w:rPr>
        <w:t>不同竞买人均可报最高限价</w:t>
      </w:r>
      <w:r>
        <w:rPr>
          <w:rFonts w:hint="default" w:ascii="Times New Roman" w:hAnsi="Times New Roman" w:eastAsia="仿宋_GB2312" w:cs="Times New Roman"/>
          <w:color w:val="auto"/>
          <w:kern w:val="2"/>
          <w:sz w:val="31"/>
          <w:szCs w:val="31"/>
          <w:highlight w:val="none"/>
          <w:u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418" w:firstLineChars="135"/>
        <w:jc w:val="both"/>
        <w:textAlignment w:val="auto"/>
        <w:outlineLvl w:val="9"/>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（8）</w:t>
      </w:r>
      <w:r>
        <w:rPr>
          <w:rFonts w:hint="default" w:ascii="Times New Roman" w:hAnsi="Times New Roman" w:eastAsia="仿宋_GB2312" w:cs="Times New Roman"/>
          <w:color w:val="auto"/>
          <w:sz w:val="31"/>
          <w:szCs w:val="31"/>
          <w:highlight w:val="none"/>
          <w:u w:val="none"/>
        </w:rPr>
        <w:t>限时竞价是指在交易公告规定的电子挂牌交易期限截止时，有2个以上的竞买人报价，且经电子挂牌交易系统询问，5分钟内限时决定是否愿意继续报价,有竞买人愿意继续报价的，电子挂牌交易系统以高于当前最高报价一个增价幅度的价格为起始价，电子挂牌交易系统开始第一次5分钟倒计时限时报价，如在5分钟内的任一时点有新的有效报价，电子挂牌交易系统即从此时点起再顺延5分钟，供竞买人作新一轮报价，并按此方式不断顺延下去,直至5分钟限时报价内没有新的有效报价，电子挂牌交易系统将自动关闭报价通道，确认当前最高报价为最终报价。</w:t>
      </w:r>
    </w:p>
    <w:p>
      <w:pPr>
        <w:pStyle w:val="3"/>
        <w:keepNext w:val="0"/>
        <w:keepLines w:val="0"/>
        <w:widowControl/>
        <w:suppressLineNumbers w:val="0"/>
        <w:ind w:left="0" w:firstLine="645"/>
        <w:rPr>
          <w:color w:val="auto"/>
        </w:rPr>
      </w:pPr>
      <w:r>
        <w:rPr>
          <w:rFonts w:hint="eastAsia" w:ascii="Times New Roman" w:hAnsi="Times New Roman" w:eastAsia="仿宋_GB2312" w:cs="Times New Roman"/>
          <w:color w:val="auto"/>
          <w:sz w:val="31"/>
          <w:szCs w:val="31"/>
          <w:highlight w:val="none"/>
          <w:u w:val="none"/>
          <w:lang w:val="en-US" w:eastAsia="zh-CN"/>
        </w:rPr>
        <w:t>（七）</w:t>
      </w:r>
      <w:r>
        <w:rPr>
          <w:rFonts w:ascii="仿宋" w:hAnsi="仿宋" w:eastAsia="仿宋" w:cs="仿宋"/>
          <w:color w:val="auto"/>
          <w:sz w:val="31"/>
          <w:szCs w:val="31"/>
        </w:rPr>
        <w:t>确定成交候选人</w:t>
      </w:r>
    </w:p>
    <w:p>
      <w:pPr>
        <w:pStyle w:val="2"/>
        <w:keepNext w:val="0"/>
        <w:keepLines w:val="0"/>
        <w:pageBreakBefore w:val="0"/>
        <w:widowControl w:val="0"/>
        <w:kinsoku/>
        <w:wordWrap/>
        <w:overflowPunct/>
        <w:topLinePunct w:val="0"/>
        <w:autoSpaceDE/>
        <w:autoSpaceDN/>
        <w:bidi w:val="0"/>
        <w:adjustRightInd/>
        <w:snapToGrid/>
        <w:ind w:left="0" w:leftChars="0" w:firstLine="638" w:firstLineChars="206"/>
        <w:jc w:val="both"/>
        <w:textAlignment w:val="auto"/>
        <w:outlineLvl w:val="9"/>
        <w:rPr>
          <w:rFonts w:hint="default" w:ascii="Times New Roman" w:hAnsi="Times New Roman" w:eastAsia="仿宋_GB2312" w:cs="Times New Roman"/>
          <w:color w:val="auto"/>
          <w:sz w:val="31"/>
          <w:szCs w:val="31"/>
          <w:highlight w:val="none"/>
          <w:u w:val="none"/>
        </w:rPr>
      </w:pPr>
      <w:r>
        <w:rPr>
          <w:rFonts w:hint="default" w:ascii="Times New Roman" w:hAnsi="Times New Roman" w:eastAsia="仿宋_GB2312" w:cs="Times New Roman"/>
          <w:color w:val="auto"/>
          <w:sz w:val="31"/>
          <w:szCs w:val="31"/>
          <w:highlight w:val="none"/>
          <w:u w:val="none"/>
        </w:rPr>
        <w:t>在土地挂牌交易期限截止时，按照下列规则确定是否成交：</w:t>
      </w:r>
    </w:p>
    <w:p>
      <w:pPr>
        <w:pStyle w:val="2"/>
        <w:keepNext w:val="0"/>
        <w:keepLines w:val="0"/>
        <w:pageBreakBefore w:val="0"/>
        <w:widowControl w:val="0"/>
        <w:kinsoku/>
        <w:wordWrap/>
        <w:overflowPunct/>
        <w:topLinePunct w:val="0"/>
        <w:autoSpaceDE/>
        <w:autoSpaceDN/>
        <w:bidi w:val="0"/>
        <w:adjustRightInd/>
        <w:snapToGrid/>
        <w:ind w:left="0" w:leftChars="0" w:firstLine="638" w:firstLineChars="206"/>
        <w:jc w:val="both"/>
        <w:textAlignment w:val="auto"/>
        <w:outlineLvl w:val="9"/>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1.</w:t>
      </w:r>
      <w:r>
        <w:rPr>
          <w:rFonts w:hint="default" w:ascii="Times New Roman" w:hAnsi="Times New Roman" w:eastAsia="仿宋_GB2312" w:cs="Times New Roman"/>
          <w:color w:val="auto"/>
          <w:sz w:val="31"/>
          <w:szCs w:val="31"/>
          <w:highlight w:val="none"/>
          <w:u w:val="none"/>
        </w:rPr>
        <w:t>挂牌交易期限截止时无人报价的，挂牌不成交;</w:t>
      </w:r>
    </w:p>
    <w:p>
      <w:pPr>
        <w:pStyle w:val="2"/>
        <w:keepNext w:val="0"/>
        <w:keepLines w:val="0"/>
        <w:pageBreakBefore w:val="0"/>
        <w:widowControl w:val="0"/>
        <w:kinsoku/>
        <w:wordWrap/>
        <w:overflowPunct/>
        <w:topLinePunct w:val="0"/>
        <w:autoSpaceDE/>
        <w:autoSpaceDN/>
        <w:bidi w:val="0"/>
        <w:adjustRightInd/>
        <w:snapToGrid/>
        <w:ind w:left="0" w:leftChars="0" w:firstLine="638" w:firstLineChars="206"/>
        <w:jc w:val="both"/>
        <w:textAlignment w:val="auto"/>
        <w:outlineLvl w:val="9"/>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2.</w:t>
      </w:r>
      <w:r>
        <w:rPr>
          <w:rFonts w:hint="default" w:ascii="Times New Roman" w:hAnsi="Times New Roman" w:eastAsia="仿宋_GB2312" w:cs="Times New Roman"/>
          <w:color w:val="auto"/>
          <w:sz w:val="31"/>
          <w:szCs w:val="31"/>
          <w:highlight w:val="none"/>
          <w:u w:val="none"/>
        </w:rPr>
        <w:t>挂牌交易期限截止时只有1个竞买人报价，挂牌成交,该报价者为竞得人；</w:t>
      </w:r>
    </w:p>
    <w:p>
      <w:pPr>
        <w:pStyle w:val="2"/>
        <w:keepNext w:val="0"/>
        <w:keepLines w:val="0"/>
        <w:pageBreakBefore w:val="0"/>
        <w:widowControl w:val="0"/>
        <w:kinsoku/>
        <w:wordWrap/>
        <w:overflowPunct/>
        <w:topLinePunct w:val="0"/>
        <w:autoSpaceDE/>
        <w:autoSpaceDN/>
        <w:bidi w:val="0"/>
        <w:adjustRightInd/>
        <w:snapToGrid/>
        <w:ind w:left="0" w:leftChars="0" w:firstLine="638" w:firstLineChars="206"/>
        <w:jc w:val="both"/>
        <w:textAlignment w:val="auto"/>
        <w:outlineLvl w:val="9"/>
        <w:rPr>
          <w:rFonts w:hint="default" w:ascii="Times New Roman" w:hAnsi="Times New Roman" w:eastAsia="仿宋_GB2312" w:cs="Times New Roman"/>
          <w:color w:val="auto"/>
          <w:sz w:val="31"/>
          <w:szCs w:val="31"/>
          <w:highlight w:val="none"/>
          <w:u w:val="none"/>
        </w:rPr>
      </w:pPr>
      <w:r>
        <w:rPr>
          <w:rFonts w:hint="eastAsia" w:ascii="Times New Roman" w:hAnsi="Times New Roman" w:eastAsia="仿宋_GB2312" w:cs="Times New Roman"/>
          <w:color w:val="auto"/>
          <w:sz w:val="31"/>
          <w:szCs w:val="31"/>
          <w:highlight w:val="none"/>
          <w:u w:val="none"/>
          <w:lang w:val="en-US" w:eastAsia="zh-CN"/>
        </w:rPr>
        <w:t>3.</w:t>
      </w:r>
      <w:r>
        <w:rPr>
          <w:rFonts w:hint="default" w:ascii="Times New Roman" w:hAnsi="Times New Roman" w:eastAsia="仿宋_GB2312" w:cs="Times New Roman"/>
          <w:color w:val="auto"/>
          <w:sz w:val="31"/>
          <w:szCs w:val="31"/>
          <w:highlight w:val="none"/>
          <w:u w:val="none"/>
        </w:rPr>
        <w:t>在挂牌交易期限内有2个以上的竞买人报价的，按如下规定确定竞得人:</w:t>
      </w:r>
    </w:p>
    <w:p>
      <w:pPr>
        <w:pStyle w:val="2"/>
        <w:keepNext w:val="0"/>
        <w:keepLines w:val="0"/>
        <w:pageBreakBefore w:val="0"/>
        <w:widowControl w:val="0"/>
        <w:kinsoku/>
        <w:wordWrap/>
        <w:overflowPunct/>
        <w:topLinePunct w:val="0"/>
        <w:autoSpaceDE/>
        <w:autoSpaceDN/>
        <w:bidi w:val="0"/>
        <w:adjustRightInd/>
        <w:snapToGrid/>
        <w:ind w:left="0" w:leftChars="0" w:firstLine="638" w:firstLineChars="206"/>
        <w:jc w:val="both"/>
        <w:textAlignment w:val="auto"/>
        <w:outlineLvl w:val="9"/>
        <w:rPr>
          <w:rFonts w:hint="default" w:ascii="Times New Roman" w:hAnsi="Times New Roman" w:eastAsia="仿宋_GB2312" w:cs="Times New Roman"/>
          <w:color w:val="auto"/>
          <w:sz w:val="31"/>
          <w:szCs w:val="31"/>
          <w:highlight w:val="none"/>
          <w:u w:val="none"/>
        </w:rPr>
      </w:pPr>
      <w:r>
        <w:rPr>
          <w:rFonts w:hint="eastAsia" w:ascii="Calibri" w:hAnsi="Calibri" w:eastAsia="仿宋_GB2312" w:cs="Calibri"/>
          <w:color w:val="auto"/>
          <w:sz w:val="31"/>
          <w:szCs w:val="31"/>
          <w:highlight w:val="none"/>
          <w:u w:val="none"/>
          <w:lang w:eastAsia="zh-CN"/>
        </w:rPr>
        <w:t>（</w:t>
      </w:r>
      <w:r>
        <w:rPr>
          <w:rFonts w:hint="eastAsia" w:ascii="Calibri" w:hAnsi="Calibri" w:eastAsia="仿宋_GB2312" w:cs="Calibri"/>
          <w:color w:val="auto"/>
          <w:sz w:val="31"/>
          <w:szCs w:val="31"/>
          <w:highlight w:val="none"/>
          <w:u w:val="none"/>
          <w:lang w:val="en-US" w:eastAsia="zh-CN"/>
        </w:rPr>
        <w:t>1</w:t>
      </w:r>
      <w:r>
        <w:rPr>
          <w:rFonts w:hint="eastAsia" w:ascii="Calibri" w:hAnsi="Calibri" w:eastAsia="仿宋_GB2312" w:cs="Calibri"/>
          <w:color w:val="auto"/>
          <w:sz w:val="31"/>
          <w:szCs w:val="31"/>
          <w:highlight w:val="none"/>
          <w:u w:val="none"/>
          <w:lang w:eastAsia="zh-CN"/>
        </w:rPr>
        <w:t>）</w:t>
      </w:r>
      <w:r>
        <w:rPr>
          <w:rFonts w:hint="default" w:ascii="Times New Roman" w:hAnsi="Times New Roman" w:eastAsia="仿宋_GB2312" w:cs="Times New Roman"/>
          <w:color w:val="auto"/>
          <w:sz w:val="31"/>
          <w:szCs w:val="31"/>
          <w:highlight w:val="none"/>
          <w:u w:val="none"/>
        </w:rPr>
        <w:t>在挂牌交易期限截止时 ,最高报价未达到最高限价,经电子挂牌交易系统询问，无竞买人愿意参加限时竞价的，以当前报价最高者为竞得人；</w:t>
      </w:r>
    </w:p>
    <w:p>
      <w:pPr>
        <w:pStyle w:val="2"/>
        <w:keepNext w:val="0"/>
        <w:keepLines w:val="0"/>
        <w:pageBreakBefore w:val="0"/>
        <w:widowControl w:val="0"/>
        <w:kinsoku/>
        <w:wordWrap/>
        <w:overflowPunct/>
        <w:topLinePunct w:val="0"/>
        <w:autoSpaceDE/>
        <w:autoSpaceDN/>
        <w:bidi w:val="0"/>
        <w:adjustRightInd/>
        <w:snapToGrid/>
        <w:ind w:left="0" w:leftChars="0" w:firstLine="638" w:firstLineChars="206"/>
        <w:jc w:val="both"/>
        <w:textAlignment w:val="auto"/>
        <w:outlineLvl w:val="9"/>
        <w:rPr>
          <w:rFonts w:hint="default" w:ascii="Times New Roman" w:hAnsi="Times New Roman" w:eastAsia="仿宋_GB2312" w:cs="Times New Roman"/>
          <w:color w:val="auto"/>
          <w:sz w:val="31"/>
          <w:szCs w:val="31"/>
          <w:highlight w:val="none"/>
          <w:u w:val="none"/>
          <w:lang w:eastAsia="zh-CN"/>
        </w:rPr>
      </w:pPr>
      <w:r>
        <w:rPr>
          <w:rFonts w:hint="eastAsia" w:ascii="Calibri" w:hAnsi="Calibri" w:eastAsia="仿宋_GB2312" w:cs="Calibri"/>
          <w:color w:val="auto"/>
          <w:sz w:val="31"/>
          <w:szCs w:val="31"/>
          <w:highlight w:val="none"/>
          <w:u w:val="none"/>
          <w:lang w:eastAsia="zh-CN"/>
        </w:rPr>
        <w:t>（</w:t>
      </w:r>
      <w:r>
        <w:rPr>
          <w:rFonts w:hint="eastAsia" w:ascii="Calibri" w:hAnsi="Calibri" w:eastAsia="仿宋_GB2312" w:cs="Calibri"/>
          <w:color w:val="auto"/>
          <w:sz w:val="31"/>
          <w:szCs w:val="31"/>
          <w:highlight w:val="none"/>
          <w:u w:val="none"/>
          <w:lang w:val="en-US" w:eastAsia="zh-CN"/>
        </w:rPr>
        <w:t>2</w:t>
      </w:r>
      <w:r>
        <w:rPr>
          <w:rFonts w:hint="eastAsia" w:ascii="Calibri" w:hAnsi="Calibri" w:eastAsia="仿宋_GB2312" w:cs="Calibri"/>
          <w:color w:val="auto"/>
          <w:sz w:val="31"/>
          <w:szCs w:val="31"/>
          <w:highlight w:val="none"/>
          <w:u w:val="none"/>
          <w:lang w:eastAsia="zh-CN"/>
        </w:rPr>
        <w:t>）</w:t>
      </w:r>
      <w:r>
        <w:rPr>
          <w:rFonts w:hint="default" w:ascii="Times New Roman" w:hAnsi="Times New Roman" w:eastAsia="仿宋_GB2312" w:cs="Times New Roman"/>
          <w:color w:val="auto"/>
          <w:sz w:val="31"/>
          <w:szCs w:val="31"/>
          <w:highlight w:val="none"/>
          <w:u w:val="none"/>
        </w:rPr>
        <w:t>在挂牌交易期限截止时 ,最高报价未达到最高限价,经电子挂牌交易系统询问，有竞买人愿意参加限时竞价的，进入限时竞价，限时竞价中最高报价未达到最高限价的,该最高报价者为竞得人</w:t>
      </w:r>
      <w:r>
        <w:rPr>
          <w:rFonts w:hint="default" w:ascii="Times New Roman" w:hAnsi="Times New Roman" w:eastAsia="仿宋_GB2312" w:cs="Times New Roman"/>
          <w:color w:val="auto"/>
          <w:sz w:val="31"/>
          <w:szCs w:val="31"/>
          <w:highlight w:val="none"/>
          <w:u w:val="none"/>
          <w:lang w:eastAsia="zh-CN"/>
        </w:rPr>
        <w:t>。</w:t>
      </w:r>
    </w:p>
    <w:p>
      <w:pPr>
        <w:tabs>
          <w:tab w:val="left" w:pos="3388"/>
        </w:tabs>
        <w:spacing w:line="560" w:lineRule="exact"/>
        <w:ind w:left="0" w:leftChars="0" w:firstLine="638" w:firstLineChars="206"/>
        <w:jc w:val="both"/>
        <w:rPr>
          <w:rFonts w:hint="default" w:ascii="Times New Roman" w:hAnsi="Times New Roman" w:eastAsia="仿宋_GB2312" w:cs="Times New Roman"/>
          <w:color w:val="auto"/>
          <w:sz w:val="31"/>
          <w:szCs w:val="31"/>
          <w:highlight w:val="none"/>
          <w:u w:val="none"/>
        </w:rPr>
      </w:pPr>
      <w:r>
        <w:rPr>
          <w:rFonts w:hint="default" w:ascii="Times New Roman" w:hAnsi="Times New Roman" w:eastAsia="仿宋_GB2312" w:cs="Times New Roman"/>
          <w:color w:val="auto"/>
          <w:sz w:val="31"/>
          <w:szCs w:val="31"/>
          <w:highlight w:val="none"/>
          <w:u w:val="none"/>
          <w:lang w:val="en-US" w:eastAsia="zh-CN"/>
        </w:rPr>
        <w:t>进入限时竞价，限时竞价中</w:t>
      </w:r>
      <w:r>
        <w:rPr>
          <w:rFonts w:hint="default" w:ascii="Times New Roman" w:hAnsi="Times New Roman" w:eastAsia="仿宋_GB2312" w:cs="Times New Roman"/>
          <w:color w:val="auto"/>
          <w:sz w:val="31"/>
          <w:szCs w:val="31"/>
          <w:highlight w:val="none"/>
          <w:u w:val="none"/>
        </w:rPr>
        <w:t>最高报价达到最高限价</w:t>
      </w:r>
      <w:r>
        <w:rPr>
          <w:rFonts w:hint="default" w:ascii="Times New Roman" w:hAnsi="Times New Roman" w:eastAsia="仿宋_GB2312" w:cs="Times New Roman"/>
          <w:color w:val="auto"/>
          <w:sz w:val="31"/>
          <w:szCs w:val="31"/>
          <w:highlight w:val="none"/>
          <w:u w:val="none"/>
          <w:lang w:val="en-US" w:eastAsia="zh-CN"/>
        </w:rPr>
        <w:t>的</w:t>
      </w:r>
      <w:r>
        <w:rPr>
          <w:rFonts w:hint="default" w:ascii="Times New Roman" w:hAnsi="Times New Roman" w:eastAsia="仿宋_GB2312" w:cs="Times New Roman"/>
          <w:color w:val="auto"/>
          <w:sz w:val="31"/>
          <w:szCs w:val="31"/>
          <w:highlight w:val="none"/>
          <w:u w:val="none"/>
        </w:rPr>
        <w:t>，</w:t>
      </w:r>
      <w:r>
        <w:rPr>
          <w:rFonts w:hint="default" w:ascii="Times New Roman" w:hAnsi="Times New Roman" w:eastAsia="仿宋_GB2312" w:cs="Times New Roman"/>
          <w:color w:val="auto"/>
          <w:sz w:val="31"/>
          <w:szCs w:val="31"/>
          <w:highlight w:val="none"/>
          <w:u w:val="none"/>
          <w:lang w:val="en-US" w:eastAsia="zh-CN"/>
        </w:rPr>
        <w:t>若</w:t>
      </w:r>
      <w:r>
        <w:rPr>
          <w:rFonts w:hint="default" w:ascii="Times New Roman" w:hAnsi="Times New Roman" w:eastAsia="仿宋_GB2312" w:cs="Times New Roman"/>
          <w:color w:val="auto"/>
          <w:sz w:val="31"/>
          <w:szCs w:val="31"/>
          <w:highlight w:val="none"/>
          <w:u w:val="none"/>
        </w:rPr>
        <w:t>只有</w:t>
      </w:r>
      <w:r>
        <w:rPr>
          <w:rFonts w:hint="default" w:ascii="Times New Roman" w:hAnsi="Times New Roman" w:eastAsia="仿宋_GB2312" w:cs="Times New Roman"/>
          <w:color w:val="auto"/>
          <w:sz w:val="31"/>
          <w:szCs w:val="31"/>
          <w:highlight w:val="none"/>
          <w:u w:val="none"/>
          <w:lang w:val="en-US" w:eastAsia="zh-CN"/>
        </w:rPr>
        <w:t>1个</w:t>
      </w:r>
      <w:r>
        <w:rPr>
          <w:rFonts w:hint="default" w:ascii="Times New Roman" w:hAnsi="Times New Roman" w:eastAsia="仿宋_GB2312" w:cs="Times New Roman"/>
          <w:color w:val="auto"/>
          <w:sz w:val="31"/>
          <w:szCs w:val="31"/>
          <w:highlight w:val="none"/>
          <w:u w:val="none"/>
        </w:rPr>
        <w:t>竞买人报最高限价，该报价者为竞得人</w:t>
      </w:r>
      <w:r>
        <w:rPr>
          <w:rFonts w:hint="default" w:ascii="Times New Roman" w:hAnsi="Times New Roman" w:eastAsia="仿宋_GB2312" w:cs="Times New Roman"/>
          <w:color w:val="auto"/>
          <w:sz w:val="31"/>
          <w:szCs w:val="31"/>
          <w:highlight w:val="none"/>
          <w:u w:val="none"/>
          <w:lang w:eastAsia="zh-CN"/>
        </w:rPr>
        <w:t>；</w:t>
      </w:r>
      <w:r>
        <w:rPr>
          <w:rFonts w:hint="default" w:ascii="Times New Roman" w:hAnsi="Times New Roman" w:eastAsia="仿宋_GB2312" w:cs="Times New Roman"/>
          <w:color w:val="auto"/>
          <w:sz w:val="31"/>
          <w:szCs w:val="31"/>
          <w:highlight w:val="none"/>
          <w:u w:val="none"/>
          <w:lang w:val="en-US" w:eastAsia="zh-CN"/>
        </w:rPr>
        <w:t>若</w:t>
      </w:r>
      <w:r>
        <w:rPr>
          <w:rFonts w:hint="default" w:ascii="Times New Roman" w:hAnsi="Times New Roman" w:eastAsia="仿宋_GB2312" w:cs="Times New Roman"/>
          <w:color w:val="auto"/>
          <w:sz w:val="31"/>
          <w:szCs w:val="31"/>
          <w:highlight w:val="none"/>
          <w:u w:val="none"/>
        </w:rPr>
        <w:t>有</w:t>
      </w:r>
      <w:r>
        <w:rPr>
          <w:rFonts w:hint="default" w:ascii="Times New Roman" w:hAnsi="Times New Roman" w:eastAsia="仿宋_GB2312" w:cs="Times New Roman"/>
          <w:color w:val="auto"/>
          <w:sz w:val="31"/>
          <w:szCs w:val="31"/>
          <w:highlight w:val="none"/>
          <w:u w:val="none"/>
          <w:lang w:val="en-US" w:eastAsia="zh-CN"/>
        </w:rPr>
        <w:t>2个</w:t>
      </w:r>
      <w:r>
        <w:rPr>
          <w:rFonts w:hint="default" w:ascii="Times New Roman" w:hAnsi="Times New Roman" w:eastAsia="仿宋_GB2312" w:cs="Times New Roman"/>
          <w:color w:val="auto"/>
          <w:sz w:val="31"/>
          <w:szCs w:val="31"/>
          <w:highlight w:val="none"/>
          <w:u w:val="none"/>
        </w:rPr>
        <w:t>以上竞买人报最高限价，系统将选取报最高限价的竞买号进行摇号，采取摇号的方式在规定的时间内确定竞得人。</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（八）成交候选人竞买资格审查</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本宗国有建设用地使用权网上挂牌出让实行竞买资格后置审查。</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电子挂牌交易结束后，电子挂牌竞价结果即时通过网上挂牌交易系统发布。成交候选人应当在电子挂牌竞价结果公布后，按挂牌出让公告及本须知的要求将相关资料提交至委托人，由委托人进行竞买资格审查。符合竞买资格的，确定成交候选人为竞得人。</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不符合竞买资格的，取消成交候选人资格，竞价结果无效。</w:t>
      </w:r>
    </w:p>
    <w:p>
      <w:pPr>
        <w:pStyle w:val="3"/>
        <w:keepNext w:val="0"/>
        <w:keepLines w:val="0"/>
        <w:widowControl/>
        <w:suppressLineNumbers w:val="0"/>
        <w:ind w:left="0" w:firstLine="645"/>
        <w:jc w:val="left"/>
        <w:rPr>
          <w:rFonts w:hint="eastAsia" w:ascii="宋体" w:hAnsi="宋体" w:eastAsia="宋体" w:cs="宋体"/>
          <w:color w:val="auto"/>
          <w:sz w:val="31"/>
          <w:szCs w:val="31"/>
        </w:rPr>
      </w:pPr>
      <w:r>
        <w:rPr>
          <w:rFonts w:hint="eastAsia" w:ascii="宋体" w:hAnsi="宋体" w:eastAsia="宋体" w:cs="宋体"/>
          <w:color w:val="auto"/>
          <w:sz w:val="31"/>
          <w:szCs w:val="31"/>
        </w:rPr>
        <w:t>（九）公布交易结果</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委托人确定竞得人后，由本中心通过网上挂牌交易系统发布交易结果。</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（十）签订成交确认书和交易合同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确定竞得人后，竞得人按挂牌交易公告规定的时间与委托人、本中心签订成交确认书，竞得人根据成交确认书约定的时间与委托人签订交易合同。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六、系统操作</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网上挂牌交易系统竞买人操作视频可在本中心网上挂牌交易系统（https://www.hzgtjy.com/）下载。</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七、注意事项</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二）单独申请竞买的，竞买申请人为非本市注册登记的企业，在竞得土地后，必须于2个月内在本市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三）联合申请竞买的，联合竞买人在提交竞买申请材料时，须提交联合竞买申请书和协议，协议主要规定联合各方的权利和义务、参与竞买的代表人、联合各方的出资比例等。联合竞买申请人竞得土地后须于2个月内在本市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widowControl/>
        <w:suppressLineNumbers w:val="0"/>
        <w:ind w:left="0" w:firstLine="645"/>
        <w:rPr>
          <w:rFonts w:hint="eastAsia" w:ascii="宋体" w:hAnsi="宋体" w:eastAsia="宋体" w:cs="宋体"/>
          <w:color w:val="auto"/>
          <w:sz w:val="31"/>
          <w:szCs w:val="31"/>
        </w:rPr>
      </w:pPr>
      <w:r>
        <w:rPr>
          <w:rFonts w:hint="eastAsia" w:ascii="宋体" w:hAnsi="宋体" w:eastAsia="宋体" w:cs="宋体"/>
          <w:color w:val="auto"/>
          <w:sz w:val="31"/>
          <w:szCs w:val="31"/>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lang w:eastAsia="zh-CN"/>
        </w:rPr>
        <w:t>（</w:t>
      </w:r>
      <w:r>
        <w:rPr>
          <w:rFonts w:hint="eastAsia" w:ascii="宋体" w:hAnsi="宋体" w:eastAsia="宋体" w:cs="宋体"/>
          <w:color w:val="auto"/>
          <w:sz w:val="31"/>
          <w:szCs w:val="31"/>
          <w:lang w:val="en-US" w:eastAsia="zh-CN"/>
        </w:rPr>
        <w:t>四</w:t>
      </w:r>
      <w:r>
        <w:rPr>
          <w:rFonts w:hint="eastAsia" w:ascii="宋体" w:hAnsi="宋体" w:eastAsia="宋体" w:cs="宋体"/>
          <w:color w:val="auto"/>
          <w:sz w:val="31"/>
          <w:szCs w:val="31"/>
          <w:lang w:eastAsia="zh-CN"/>
        </w:rPr>
        <w:t>）</w:t>
      </w:r>
      <w:r>
        <w:rPr>
          <w:rFonts w:hint="eastAsia" w:ascii="宋体" w:hAnsi="宋体" w:eastAsia="宋体" w:cs="宋体"/>
          <w:color w:val="auto"/>
          <w:sz w:val="31"/>
          <w:szCs w:val="31"/>
        </w:rPr>
        <w:t>《竞价结果通知书》对委托人和成交候选人具有法律效力，委托人改变网上挂牌结果的，或者成交候选人放弃竞得宗地的，应当承担相应法律责任。</w:t>
      </w:r>
    </w:p>
    <w:p>
      <w:pPr>
        <w:pStyle w:val="3"/>
        <w:keepNext w:val="0"/>
        <w:keepLines w:val="0"/>
        <w:widowControl/>
        <w:numPr>
          <w:ilvl w:val="0"/>
          <w:numId w:val="0"/>
        </w:numPr>
        <w:suppressLineNumbers w:val="0"/>
        <w:ind w:right="0" w:rightChars="0" w:firstLine="620" w:firstLineChars="200"/>
        <w:rPr>
          <w:color w:val="auto"/>
        </w:rPr>
      </w:pPr>
      <w:r>
        <w:rPr>
          <w:rFonts w:hint="eastAsia" w:ascii="宋体" w:hAnsi="宋体" w:eastAsia="宋体" w:cs="宋体"/>
          <w:color w:val="auto"/>
          <w:sz w:val="31"/>
          <w:szCs w:val="31"/>
        </w:rPr>
        <w:t>竞得人应按挂牌出让公告规定的时间与本中心、委托人签订成交确认书，根据成交确认书约定的时间与委托人签订出让合同，并按合同约定支付成交价款。</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（五）本中心受托提供代收代退竞买保证金服务，</w:t>
      </w:r>
      <w:r>
        <w:rPr>
          <w:rFonts w:hint="eastAsia" w:ascii="宋体" w:hAnsi="宋体" w:eastAsia="宋体" w:cs="宋体"/>
          <w:color w:val="auto"/>
          <w:sz w:val="31"/>
          <w:szCs w:val="31"/>
          <w:lang w:val="en-US" w:eastAsia="zh-CN"/>
        </w:rPr>
        <w:t>只接受</w:t>
      </w:r>
      <w:r>
        <w:rPr>
          <w:rFonts w:hint="eastAsia" w:ascii="宋体" w:hAnsi="宋体" w:eastAsia="宋体" w:cs="宋体"/>
          <w:color w:val="auto"/>
          <w:sz w:val="31"/>
          <w:szCs w:val="31"/>
        </w:rPr>
        <w:t>以人民币缴纳的竞买保证金</w:t>
      </w:r>
      <w:r>
        <w:rPr>
          <w:rFonts w:hint="eastAsia" w:ascii="宋体" w:hAnsi="宋体" w:eastAsia="宋体" w:cs="宋体"/>
          <w:color w:val="auto"/>
          <w:sz w:val="31"/>
          <w:szCs w:val="31"/>
          <w:lang w:eastAsia="zh-CN"/>
        </w:rPr>
        <w:t>。</w:t>
      </w:r>
      <w:r>
        <w:rPr>
          <w:rFonts w:hint="eastAsia" w:ascii="宋体" w:hAnsi="宋体" w:eastAsia="宋体" w:cs="宋体"/>
          <w:color w:val="auto"/>
          <w:sz w:val="31"/>
          <w:szCs w:val="31"/>
        </w:rPr>
        <w:t>未竞得人缴纳的竞买保证金将于电子挂牌交易活动结束之日起5个工作日内通过网上退还的形式原路退还保证金，不计利息。</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竞得人交纳的竞买保证金转付成交价款，办理转付成交价款手续应带齐如下相关资料：</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委托方开具的银行端查询缴税凭证；</w:t>
      </w:r>
    </w:p>
    <w:p>
      <w:pPr>
        <w:pStyle w:val="3"/>
        <w:keepNext w:val="0"/>
        <w:keepLines w:val="0"/>
        <w:widowControl/>
        <w:suppressLineNumbers w:val="0"/>
        <w:spacing w:before="0" w:beforeAutospacing="0" w:after="0" w:afterAutospacing="0"/>
        <w:ind w:left="420" w:right="0" w:firstLine="210"/>
        <w:rPr>
          <w:color w:val="auto"/>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委托方开具的惠州市非税收入缴款通知；</w:t>
      </w:r>
    </w:p>
    <w:p>
      <w:pPr>
        <w:pStyle w:val="3"/>
        <w:keepNext w:val="0"/>
        <w:keepLines w:val="0"/>
        <w:widowControl/>
        <w:suppressLineNumbers w:val="0"/>
        <w:spacing w:before="0" w:beforeAutospacing="0" w:after="0" w:afterAutospacing="0"/>
        <w:ind w:left="420" w:right="0" w:firstLine="210"/>
        <w:rPr>
          <w:color w:val="auto"/>
        </w:rPr>
      </w:pPr>
      <w:r>
        <w:rPr>
          <w:rFonts w:hint="eastAsia" w:ascii="宋体" w:hAnsi="宋体" w:eastAsia="宋体" w:cs="宋体"/>
          <w:color w:val="auto"/>
          <w:sz w:val="31"/>
          <w:szCs w:val="31"/>
        </w:rPr>
        <w:t>3</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竞价结果通知书；</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4</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保证金到账通知书；</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5</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保证金转账凭证。</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1</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电子交易系统受到黑客、病毒恶意攻击的；</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2</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3</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电子交易系统发现有安全漏洞，有潜在泄密危险，无法保证电子交易信息安全和公平公正交易的；</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4</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政府有关行政主管部门及司法机关依法要求暂停、中止或终止交易的；</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5</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委托人书面通知交易中心要求暂停、中止或终止交易的；</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宋体" w:hAnsi="宋体" w:eastAsia="宋体" w:cs="宋体"/>
          <w:color w:val="auto"/>
          <w:sz w:val="31"/>
          <w:szCs w:val="31"/>
        </w:rPr>
        <w:t>依法应当暂停、中止或终止交易的其他情形。</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（八）网上挂牌成交价即为该宗地的出让总地价款，竞得人除支付成交价款外，还需支付契税、印花税等有关费用。</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（九）竞得人与委托人签订出让合同后，应当按出让合同约定支付网上挂牌成交价款。竞得人付清全部成交价款后，依法申请办理土地登记，领取《不动产权证书》。</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（十）网上挂牌不成交的，由委托人重新组织挂牌出让。</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（十一）出让公告、竞买须知及相关交易文件需要修改、补充时，将通过原公告发布渠道公告，不作另行通知。</w:t>
      </w:r>
    </w:p>
    <w:p>
      <w:pPr>
        <w:pStyle w:val="3"/>
        <w:keepNext w:val="0"/>
        <w:keepLines w:val="0"/>
        <w:widowControl/>
        <w:suppressLineNumbers w:val="0"/>
        <w:rPr>
          <w:color w:val="auto"/>
        </w:rPr>
      </w:pPr>
      <w:r>
        <w:rPr>
          <w:rFonts w:hint="eastAsia" w:ascii="宋体" w:hAnsi="宋体" w:eastAsia="宋体" w:cs="宋体"/>
          <w:color w:val="auto"/>
          <w:sz w:val="31"/>
          <w:szCs w:val="31"/>
        </w:rPr>
        <w:t>  申请人应当及时关注该宗地的网上挂牌交易信息。本中心发出的修改、补充公告，与出让公告、竞买须知及相关交易文件具有同等效力。若与出让公告、竞买须知及相关交易文件有矛盾时，以日期在后者为准。</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（十二）本竞买须知及出让公告涉及的时间期限，以网上挂牌交易系统服务器的时间为准。</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（十三）本中心对本《须知》有解释权。未尽事宜依照《招标拍卖挂牌出让国有土地使用权规范》办理。</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3"/>
        <w:keepNext w:val="0"/>
        <w:keepLines w:val="0"/>
        <w:widowControl/>
        <w:suppressLineNumbers w:val="0"/>
        <w:jc w:val="center"/>
        <w:rPr>
          <w:rFonts w:hint="default" w:eastAsia="宋体"/>
          <w:color w:val="auto"/>
          <w:lang w:val="en-US" w:eastAsia="zh-CN"/>
        </w:rPr>
      </w:pPr>
      <w:r>
        <w:rPr>
          <w:rFonts w:hint="eastAsia" w:ascii="宋体" w:hAnsi="宋体" w:eastAsia="宋体" w:cs="宋体"/>
          <w:color w:val="auto"/>
          <w:sz w:val="31"/>
          <w:szCs w:val="31"/>
        </w:rPr>
        <w:t>         惠州市公共资源交易中心</w:t>
      </w:r>
      <w:r>
        <w:rPr>
          <w:rFonts w:hint="eastAsia" w:ascii="宋体" w:hAnsi="宋体" w:eastAsia="宋体" w:cs="宋体"/>
          <w:color w:val="auto"/>
          <w:sz w:val="31"/>
          <w:szCs w:val="31"/>
          <w:lang w:val="en-US" w:eastAsia="zh-CN"/>
        </w:rPr>
        <w:t>大亚湾分中心</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           2023年</w:t>
      </w:r>
      <w:r>
        <w:rPr>
          <w:rFonts w:hint="eastAsia" w:ascii="宋体" w:hAnsi="宋体" w:eastAsia="宋体" w:cs="宋体"/>
          <w:color w:val="auto"/>
          <w:sz w:val="31"/>
          <w:szCs w:val="31"/>
          <w:lang w:val="en-US" w:eastAsia="zh-CN"/>
        </w:rPr>
        <w:t>6</w:t>
      </w:r>
      <w:r>
        <w:rPr>
          <w:rFonts w:hint="eastAsia" w:ascii="宋体" w:hAnsi="宋体" w:eastAsia="宋体" w:cs="宋体"/>
          <w:color w:val="auto"/>
          <w:sz w:val="31"/>
          <w:szCs w:val="31"/>
        </w:rPr>
        <w:t>月</w:t>
      </w:r>
      <w:r>
        <w:rPr>
          <w:rFonts w:hint="eastAsia" w:ascii="宋体" w:hAnsi="宋体" w:eastAsia="宋体" w:cs="宋体"/>
          <w:color w:val="auto"/>
          <w:sz w:val="31"/>
          <w:szCs w:val="31"/>
          <w:lang w:val="en-US" w:eastAsia="zh-CN"/>
        </w:rPr>
        <w:t>27</w:t>
      </w:r>
      <w:r>
        <w:rPr>
          <w:rFonts w:hint="eastAsia" w:ascii="宋体" w:hAnsi="宋体" w:eastAsia="宋体" w:cs="宋体"/>
          <w:color w:val="auto"/>
          <w:sz w:val="31"/>
          <w:szCs w:val="31"/>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53637"/>
    <w:rsid w:val="0C9E4D0C"/>
    <w:rsid w:val="1C351F2A"/>
    <w:rsid w:val="22D25AFC"/>
    <w:rsid w:val="32E546BE"/>
    <w:rsid w:val="362079E3"/>
    <w:rsid w:val="39EE517D"/>
    <w:rsid w:val="3B6A33EB"/>
    <w:rsid w:val="517361A3"/>
    <w:rsid w:val="55636CB1"/>
    <w:rsid w:val="5C1A1D6C"/>
    <w:rsid w:val="5D7068CB"/>
    <w:rsid w:val="70507F61"/>
    <w:rsid w:val="75B052E1"/>
    <w:rsid w:val="77A3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420"/>
    </w:pPr>
    <w:rPr>
      <w:sz w:val="28"/>
      <w:szCs w:val="20"/>
    </w:r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uiPriority w:val="0"/>
    <w:rPr>
      <w:i/>
      <w:iCs/>
    </w:rPr>
  </w:style>
  <w:style w:type="character" w:styleId="9">
    <w:name w:val="Hyperlink"/>
    <w:basedOn w:val="5"/>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2023-06-16T03:45:00Z</cp:lastPrinted>
  <dcterms:modified xsi:type="dcterms:W3CDTF">2023-06-26T01:19:55Z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F326DCD81A5F45749816870ECFFD47AA</vt:lpwstr>
  </property>
</Properties>
</file>