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惠公易土</w:t>
      </w:r>
      <w:r>
        <w:rPr>
          <w:rFonts w:hint="eastAsia" w:ascii="宋体" w:hAnsi="宋体" w:eastAsia="宋体" w:cs="宋体"/>
          <w:color w:val="auto"/>
          <w:sz w:val="31"/>
          <w:szCs w:val="31"/>
          <w:lang w:val="en-US" w:eastAsia="zh-CN"/>
        </w:rPr>
        <w:t>大亚湾（知）</w:t>
      </w:r>
      <w:r>
        <w:rPr>
          <w:rFonts w:hint="eastAsia" w:ascii="宋体" w:hAnsi="宋体" w:eastAsia="宋体" w:cs="宋体"/>
          <w:color w:val="auto"/>
          <w:sz w:val="31"/>
          <w:szCs w:val="31"/>
        </w:rPr>
        <w:t xml:space="preserve"> [202</w:t>
      </w:r>
      <w:r>
        <w:rPr>
          <w:rFonts w:hint="eastAsia" w:ascii="宋体" w:hAnsi="宋体" w:eastAsia="宋体" w:cs="宋体"/>
          <w:color w:val="auto"/>
          <w:sz w:val="31"/>
          <w:szCs w:val="31"/>
          <w:lang w:val="en-US" w:eastAsia="zh-CN"/>
        </w:rPr>
        <w:t>3</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002</w:t>
      </w:r>
      <w:r>
        <w:rPr>
          <w:rFonts w:hint="eastAsia" w:ascii="宋体" w:hAnsi="宋体" w:eastAsia="宋体" w:cs="宋体"/>
          <w:color w:val="auto"/>
          <w:sz w:val="31"/>
          <w:szCs w:val="31"/>
        </w:rPr>
        <w:t>号</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 </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一、国有建设用地使用权网上挂牌出让，是指在惠州市公共资源交易平台发布挂牌出让公告和须知，竞买人通过惠州市公共资源交易中心（以下简称“交易中心”）土地与矿业网上挂牌交易系统（以下简称“网上挂牌交易系统”）参与电子挂牌交易的行为。本竞买须知是具备法律约束力的重要文件，竞买人须详细阅读。</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二、本宗国有建设用地使用权网上挂牌出让遵循公开、公平、公正和诚实信用原则。</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三、中华人民共和国境内外的法人和其他经济组织（除法律法规另有规定外），符合竞买资格的，均可通过网上挂牌交易系统，申请参加电子挂牌交易活动。</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挂牌出让公告对竞买资格有特别要求的，以挂牌出让公告为准。</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四、申请人对网上挂牌出让文件有疑问的，可在网上挂牌活动开始前以书面或者口头方式向交易中心咨询。有意竞买者可自行踏勘现场（可在网上挂牌交易系统查阅位置图和现状图）。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五、网上挂牌交易程序</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（一）发布网上挂牌信息</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有关宗地的电子挂牌交易公告等相关信息通过交易中心门户网站、交易大厅的电子显示屏、中国土地市场网、广东省公共资源交易平台和网上挂牌交易系统等媒介同步发布。</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有意竞买者可登录网上挂牌交易系统网站(https://www.hzgtjy.com/)查询。</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（二）挂牌文件获取</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申请人可在网上挂牌交易系统浏览和下载本宗地网上挂牌出让文件，具体包括：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惠州市国有建设用地使用权网上挂牌出让公告（以下简称“出让公告”）；</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惠州市国有建设用地使用权网上挂牌出让竞买须知（以下简称“竞买须知”）；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挂牌出让地块现状图；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红线图；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《规划设计条件告知书》；</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《国有建设用地使用权网上挂牌成交确认书》（以下简称“成交确认书”）样本；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7</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《国有建设用地使用权出让合同》（以下简称“出让合同”）（样本）；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8</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其他相关文件。</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（三）办理数字证书</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 xml:space="preserve">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数字证书的办理流程详见网上挂牌交易系统上的《数字证书办理指南》。</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（四）申请竞买</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竞买保证金到账时间以网上挂牌交易系统确认并发出《保证金到账通知书》为准。</w:t>
      </w:r>
    </w:p>
    <w:p>
      <w:pPr>
        <w:pStyle w:val="3"/>
        <w:keepNext w:val="0"/>
        <w:keepLines w:val="0"/>
        <w:widowControl/>
        <w:suppressLineNumbers w:val="0"/>
        <w:ind w:left="0" w:firstLine="645"/>
        <w:rPr>
          <w:rFonts w:hint="default" w:ascii="宋体" w:hAnsi="宋体" w:eastAsia="宋体" w:cs="宋体"/>
          <w:color w:val="auto"/>
          <w:sz w:val="31"/>
          <w:szCs w:val="31"/>
          <w:lang w:val="en-US" w:eastAsia="zh-CN"/>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竞买保证金开户单位：惠州市公共资源交易中心</w:t>
      </w:r>
      <w:r>
        <w:rPr>
          <w:rFonts w:hint="eastAsia" w:ascii="宋体" w:hAnsi="宋体" w:eastAsia="宋体" w:cs="宋体"/>
          <w:color w:val="auto"/>
          <w:sz w:val="31"/>
          <w:szCs w:val="31"/>
          <w:lang w:val="en-US" w:eastAsia="zh-CN"/>
        </w:rPr>
        <w:t>大亚湾分中心</w:t>
      </w:r>
    </w:p>
    <w:p>
      <w:pPr>
        <w:pStyle w:val="3"/>
        <w:keepNext w:val="0"/>
        <w:keepLines w:val="0"/>
        <w:widowControl/>
        <w:suppressLineNumbers w:val="0"/>
        <w:ind w:firstLine="930" w:firstLineChars="300"/>
        <w:rPr>
          <w:color w:val="auto"/>
        </w:rPr>
      </w:pPr>
      <w:r>
        <w:rPr>
          <w:rFonts w:hint="eastAsia" w:ascii="宋体" w:hAnsi="宋体" w:eastAsia="宋体" w:cs="宋体"/>
          <w:color w:val="auto"/>
          <w:sz w:val="31"/>
          <w:szCs w:val="31"/>
        </w:rPr>
        <w:t>竞买保证金账号：网上挂牌交易系统随机产生竞买保证金支付账号。</w:t>
      </w:r>
    </w:p>
    <w:p>
      <w:pPr>
        <w:pStyle w:val="3"/>
        <w:keepNext w:val="0"/>
        <w:keepLines w:val="0"/>
        <w:widowControl/>
        <w:suppressLineNumbers w:val="0"/>
        <w:ind w:left="0" w:firstLine="645"/>
        <w:rPr>
          <w:b/>
          <w:bCs/>
          <w:color w:val="auto"/>
        </w:rPr>
      </w:pPr>
      <w:r>
        <w:rPr>
          <w:rFonts w:hint="eastAsia" w:ascii="宋体" w:hAnsi="宋体" w:eastAsia="宋体" w:cs="宋体"/>
          <w:b/>
          <w:bCs/>
          <w:color w:val="auto"/>
          <w:sz w:val="31"/>
          <w:szCs w:val="31"/>
        </w:rPr>
        <w:t>开户银行：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（1）中国银行惠州大亚湾支行；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（2）中国工商银行惠州大亚湾支行；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（3）中国农业银行惠州大亚湾支行；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（4）惠州农商银行大亚湾支行；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（5）中国建设银行股份有限公司惠州大亚湾支行；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（6）交通银行惠州大亚湾支行；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lang w:val="en-US" w:eastAsia="zh-CN"/>
        </w:rPr>
      </w:pPr>
      <w:r>
        <w:rPr>
          <w:rFonts w:hint="eastAsia" w:ascii="宋体" w:hAnsi="宋体" w:eastAsia="宋体" w:cs="宋体"/>
          <w:color w:val="auto"/>
          <w:sz w:val="31"/>
          <w:szCs w:val="31"/>
        </w:rPr>
        <w:t>（7）珠海华润银行股份有限公司惠州大亚湾支行</w:t>
      </w:r>
      <w:r>
        <w:rPr>
          <w:rFonts w:hint="eastAsia" w:ascii="宋体" w:hAnsi="宋体" w:eastAsia="宋体" w:cs="宋体"/>
          <w:color w:val="auto"/>
          <w:sz w:val="31"/>
          <w:szCs w:val="31"/>
          <w:lang w:eastAsia="zh-CN"/>
        </w:rPr>
        <w:t>。</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 xml:space="preserve">申请人应根据网上挂牌交易系统生成的随机保证金账号按时足额交纳竞买保证金，并在网上挂牌交易系统确认竞买保证金到账之后，赋予竞买人对应宗地的竞买报价权限。 </w:t>
      </w:r>
    </w:p>
    <w:p>
      <w:pPr>
        <w:pStyle w:val="3"/>
        <w:keepNext w:val="0"/>
        <w:keepLines w:val="0"/>
        <w:widowControl/>
        <w:suppressLineNumbers w:val="0"/>
        <w:ind w:left="0" w:firstLine="645"/>
        <w:jc w:val="left"/>
        <w:rPr>
          <w:rFonts w:hint="default" w:ascii="宋体" w:hAnsi="宋体" w:eastAsia="宋体" w:cs="宋体"/>
          <w:color w:val="auto"/>
          <w:sz w:val="31"/>
          <w:szCs w:val="31"/>
          <w:lang w:val="en-US" w:eastAsia="zh-CN"/>
        </w:rPr>
      </w:pPr>
      <w:r>
        <w:rPr>
          <w:rFonts w:hint="eastAsia" w:ascii="宋体" w:hAnsi="宋体" w:eastAsia="宋体" w:cs="宋体"/>
          <w:color w:val="auto"/>
          <w:sz w:val="31"/>
          <w:szCs w:val="31"/>
        </w:rPr>
        <w:t>（六）</w:t>
      </w:r>
      <w:r>
        <w:rPr>
          <w:rFonts w:hint="default" w:ascii="宋体" w:hAnsi="宋体" w:eastAsia="宋体" w:cs="宋体"/>
          <w:color w:val="auto"/>
          <w:sz w:val="31"/>
          <w:szCs w:val="31"/>
        </w:rPr>
        <w:t>网上挂牌报价</w:t>
      </w:r>
      <w:r>
        <w:rPr>
          <w:rFonts w:hint="default" w:ascii="宋体" w:hAnsi="宋体" w:eastAsia="宋体" w:cs="宋体"/>
          <w:color w:val="auto"/>
          <w:sz w:val="31"/>
          <w:szCs w:val="31"/>
          <w:lang w:val="en-US" w:eastAsia="zh-CN"/>
        </w:rPr>
        <w:t>及摇号</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31"/>
          <w:szCs w:val="31"/>
        </w:rPr>
      </w:pPr>
      <w:r>
        <w:rPr>
          <w:rFonts w:hint="default" w:ascii="宋体" w:hAnsi="宋体" w:eastAsia="宋体" w:cs="宋体"/>
          <w:color w:val="auto"/>
          <w:sz w:val="31"/>
          <w:szCs w:val="31"/>
        </w:rPr>
        <w:t xml:space="preserve">    1</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网上挂牌交易从网上挂牌起始时间起开始接受报价。</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31"/>
          <w:szCs w:val="31"/>
        </w:rPr>
      </w:pPr>
      <w:r>
        <w:rPr>
          <w:rFonts w:hint="default" w:ascii="宋体" w:hAnsi="宋体" w:eastAsia="宋体" w:cs="宋体"/>
          <w:color w:val="auto"/>
          <w:sz w:val="31"/>
          <w:szCs w:val="31"/>
        </w:rPr>
        <w:t xml:space="preserve">    2</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办理好数字证书、按时足额交付竞买保证金并经网上挂牌交易系统确认的竞买人通过网上挂牌交易系统进行报价。</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31"/>
          <w:szCs w:val="31"/>
        </w:rPr>
      </w:pPr>
      <w:r>
        <w:rPr>
          <w:rFonts w:hint="default" w:ascii="宋体" w:hAnsi="宋体" w:eastAsia="宋体" w:cs="宋体"/>
          <w:color w:val="auto"/>
          <w:sz w:val="31"/>
          <w:szCs w:val="31"/>
        </w:rPr>
        <w:t xml:space="preserve">    3</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网上挂牌交易系统对符合规定的报价予以确认，并更新显示当前报价。</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31"/>
          <w:szCs w:val="31"/>
        </w:rPr>
      </w:pPr>
      <w:r>
        <w:rPr>
          <w:rFonts w:hint="default" w:ascii="宋体" w:hAnsi="宋体" w:eastAsia="宋体" w:cs="宋体"/>
          <w:color w:val="auto"/>
          <w:sz w:val="31"/>
          <w:szCs w:val="31"/>
        </w:rPr>
        <w:t xml:space="preserve">    4</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网上挂牌交易系统继续接受新的报价</w:t>
      </w:r>
      <w:r>
        <w:rPr>
          <w:rFonts w:hint="default" w:ascii="宋体" w:hAnsi="宋体" w:eastAsia="宋体" w:cs="宋体"/>
          <w:color w:val="auto"/>
          <w:sz w:val="31"/>
          <w:szCs w:val="31"/>
          <w:lang w:eastAsia="zh-CN"/>
        </w:rPr>
        <w:t>，</w:t>
      </w:r>
      <w:r>
        <w:rPr>
          <w:rFonts w:hint="default" w:ascii="宋体" w:hAnsi="宋体" w:eastAsia="宋体" w:cs="宋体"/>
          <w:color w:val="auto"/>
          <w:sz w:val="31"/>
          <w:szCs w:val="31"/>
          <w:lang w:val="en-US" w:eastAsia="zh-CN"/>
        </w:rPr>
        <w:t>当地块竞价至最高限价时，转入摇号环节</w:t>
      </w:r>
      <w:r>
        <w:rPr>
          <w:rFonts w:hint="default" w:ascii="宋体" w:hAnsi="宋体" w:eastAsia="宋体" w:cs="宋体"/>
          <w:color w:val="auto"/>
          <w:sz w:val="31"/>
          <w:szCs w:val="31"/>
        </w:rPr>
        <w:t>。</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31"/>
          <w:szCs w:val="31"/>
          <w:lang w:val="en-US" w:eastAsia="zh-CN"/>
        </w:rPr>
      </w:pPr>
      <w:r>
        <w:rPr>
          <w:rFonts w:hint="default" w:ascii="宋体" w:hAnsi="宋体" w:eastAsia="宋体" w:cs="宋体"/>
          <w:color w:val="auto"/>
          <w:sz w:val="31"/>
          <w:szCs w:val="31"/>
        </w:rPr>
        <w:t xml:space="preserve">    5</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网上挂牌报价</w:t>
      </w:r>
      <w:r>
        <w:rPr>
          <w:rFonts w:hint="default" w:ascii="宋体" w:hAnsi="宋体" w:eastAsia="宋体" w:cs="宋体"/>
          <w:color w:val="auto"/>
          <w:sz w:val="31"/>
          <w:szCs w:val="31"/>
          <w:lang w:val="en-US" w:eastAsia="zh-CN"/>
        </w:rPr>
        <w:t>及“限地价、摇号”</w:t>
      </w:r>
      <w:r>
        <w:rPr>
          <w:rFonts w:hint="default" w:ascii="宋体" w:hAnsi="宋体" w:eastAsia="宋体" w:cs="宋体"/>
          <w:color w:val="auto"/>
          <w:sz w:val="31"/>
          <w:szCs w:val="31"/>
        </w:rPr>
        <w:t>规则</w:t>
      </w:r>
      <w:r>
        <w:rPr>
          <w:rFonts w:hint="eastAsia" w:ascii="宋体" w:hAnsi="宋体" w:eastAsia="宋体" w:cs="宋体"/>
          <w:color w:val="auto"/>
          <w:sz w:val="31"/>
          <w:szCs w:val="31"/>
          <w:lang w:val="en-US" w:eastAsia="zh-CN"/>
        </w:rPr>
        <w:t>如下：</w:t>
      </w:r>
    </w:p>
    <w:p>
      <w:pPr>
        <w:spacing w:line="560" w:lineRule="exact"/>
        <w:ind w:left="0" w:leftChars="0" w:firstLine="418" w:firstLineChars="135"/>
        <w:jc w:val="both"/>
        <w:rPr>
          <w:rFonts w:hint="default" w:ascii="Times New Roman" w:hAnsi="Times New Roman" w:eastAsia="仿宋_GB2312" w:cs="Times New Roman"/>
          <w:color w:val="auto"/>
          <w:sz w:val="31"/>
          <w:szCs w:val="31"/>
          <w:highlight w:val="none"/>
          <w:u w:val="none"/>
          <w:lang w:val="en-US" w:eastAsia="zh-CN"/>
        </w:rPr>
      </w:pPr>
      <w:r>
        <w:rPr>
          <w:rFonts w:hint="eastAsia" w:ascii="Times New Roman" w:hAnsi="Times New Roman" w:eastAsia="仿宋_GB2312" w:cs="Times New Roman"/>
          <w:color w:val="auto"/>
          <w:sz w:val="31"/>
          <w:szCs w:val="31"/>
          <w:highlight w:val="none"/>
          <w:u w:val="none"/>
          <w:lang w:val="en-US" w:eastAsia="zh-CN"/>
        </w:rPr>
        <w:t>（1）</w:t>
      </w:r>
      <w:r>
        <w:rPr>
          <w:rFonts w:hint="default" w:ascii="Times New Roman" w:hAnsi="Times New Roman" w:eastAsia="仿宋_GB2312" w:cs="Times New Roman"/>
          <w:color w:val="auto"/>
          <w:sz w:val="31"/>
          <w:szCs w:val="31"/>
          <w:highlight w:val="none"/>
          <w:u w:val="none"/>
          <w:lang w:val="en-US" w:eastAsia="zh-CN"/>
        </w:rPr>
        <w:t>本宗建设用地使用权网上挂牌采取“限地价、摇号”出让方式，竞买人以增价方式通过网上挂牌交易系统进行报价，当报价达到最高限价时，交易系统转入采取摇号方式确定竞得人。</w:t>
      </w:r>
    </w:p>
    <w:p>
      <w:pPr>
        <w:spacing w:line="560" w:lineRule="exact"/>
        <w:ind w:left="0" w:leftChars="0" w:firstLine="418" w:firstLineChars="135"/>
        <w:jc w:val="both"/>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（2）</w:t>
      </w:r>
      <w:r>
        <w:rPr>
          <w:rFonts w:hint="default" w:ascii="Times New Roman" w:hAnsi="Times New Roman" w:eastAsia="仿宋_GB2312" w:cs="Times New Roman"/>
          <w:color w:val="auto"/>
          <w:sz w:val="31"/>
          <w:szCs w:val="31"/>
          <w:highlight w:val="none"/>
          <w:u w:val="none"/>
        </w:rPr>
        <w:t>每次</w:t>
      </w:r>
      <w:r>
        <w:rPr>
          <w:rFonts w:hint="default" w:ascii="Times New Roman" w:hAnsi="Times New Roman" w:eastAsia="仿宋_GB2312" w:cs="Times New Roman"/>
          <w:color w:val="auto"/>
          <w:sz w:val="31"/>
          <w:szCs w:val="31"/>
          <w:highlight w:val="none"/>
          <w:u w:val="none"/>
          <w:lang w:val="en-US" w:eastAsia="zh-CN"/>
        </w:rPr>
        <w:t>增价</w:t>
      </w:r>
      <w:r>
        <w:rPr>
          <w:rFonts w:hint="default" w:ascii="Times New Roman" w:hAnsi="Times New Roman" w:eastAsia="仿宋_GB2312" w:cs="Times New Roman"/>
          <w:color w:val="auto"/>
          <w:sz w:val="31"/>
          <w:szCs w:val="31"/>
          <w:highlight w:val="none"/>
          <w:u w:val="none"/>
        </w:rPr>
        <w:t>幅度</w:t>
      </w:r>
      <w:r>
        <w:rPr>
          <w:rFonts w:hint="default" w:ascii="Times New Roman" w:hAnsi="Times New Roman" w:eastAsia="仿宋_GB2312" w:cs="Times New Roman"/>
          <w:color w:val="auto"/>
          <w:sz w:val="31"/>
          <w:szCs w:val="31"/>
          <w:highlight w:val="none"/>
          <w:u w:val="none"/>
          <w:lang w:val="en-US" w:eastAsia="zh-CN"/>
        </w:rPr>
        <w:t>应是本</w:t>
      </w:r>
      <w:r>
        <w:rPr>
          <w:rFonts w:hint="eastAsia" w:ascii="Times New Roman" w:hAnsi="Times New Roman" w:eastAsia="仿宋_GB2312" w:cs="Times New Roman"/>
          <w:color w:val="auto"/>
          <w:sz w:val="31"/>
          <w:szCs w:val="31"/>
          <w:highlight w:val="none"/>
          <w:u w:val="none"/>
          <w:lang w:val="en-US" w:eastAsia="zh-CN"/>
        </w:rPr>
        <w:t>项目公告</w:t>
      </w:r>
      <w:r>
        <w:rPr>
          <w:rFonts w:hint="default" w:ascii="Times New Roman" w:hAnsi="Times New Roman" w:eastAsia="仿宋_GB2312" w:cs="Times New Roman"/>
          <w:color w:val="auto"/>
          <w:sz w:val="31"/>
          <w:szCs w:val="31"/>
          <w:highlight w:val="none"/>
          <w:u w:val="none"/>
          <w:lang w:val="en-US" w:eastAsia="zh-CN"/>
        </w:rPr>
        <w:t>规定的增价幅度的整数倍</w:t>
      </w:r>
      <w:r>
        <w:rPr>
          <w:rFonts w:hint="default" w:ascii="Times New Roman" w:hAnsi="Times New Roman" w:eastAsia="仿宋_GB2312" w:cs="Times New Roman"/>
          <w:color w:val="auto"/>
          <w:sz w:val="31"/>
          <w:szCs w:val="31"/>
          <w:highlight w:val="none"/>
          <w:u w:val="none"/>
        </w:rPr>
        <w:t xml:space="preserve">。   </w:t>
      </w:r>
    </w:p>
    <w:p>
      <w:pPr>
        <w:spacing w:line="560" w:lineRule="exact"/>
        <w:ind w:left="0" w:leftChars="0" w:firstLine="418" w:firstLineChars="135"/>
        <w:jc w:val="both"/>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（3）</w:t>
      </w:r>
      <w:r>
        <w:rPr>
          <w:rFonts w:hint="default" w:ascii="Times New Roman" w:hAnsi="Times New Roman" w:eastAsia="仿宋_GB2312" w:cs="Times New Roman"/>
          <w:color w:val="auto"/>
          <w:sz w:val="31"/>
          <w:szCs w:val="31"/>
          <w:highlight w:val="none"/>
          <w:u w:val="none"/>
        </w:rPr>
        <w:t>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left="0" w:leftChars="0" w:firstLine="418" w:firstLineChars="135"/>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（4）</w:t>
      </w:r>
      <w:r>
        <w:rPr>
          <w:rFonts w:hint="default" w:ascii="Times New Roman" w:hAnsi="Times New Roman" w:eastAsia="仿宋_GB2312" w:cs="Times New Roman"/>
          <w:color w:val="auto"/>
          <w:sz w:val="31"/>
          <w:szCs w:val="31"/>
          <w:highlight w:val="none"/>
          <w:u w:val="none"/>
        </w:rPr>
        <w:t>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left="0" w:leftChars="0" w:firstLine="418" w:firstLineChars="135"/>
        <w:jc w:val="both"/>
        <w:textAlignment w:val="auto"/>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（5）</w:t>
      </w:r>
      <w:r>
        <w:rPr>
          <w:rFonts w:hint="default" w:ascii="Times New Roman" w:hAnsi="Times New Roman" w:eastAsia="仿宋_GB2312" w:cs="Times New Roman"/>
          <w:color w:val="auto"/>
          <w:sz w:val="31"/>
          <w:szCs w:val="31"/>
          <w:highlight w:val="none"/>
          <w:u w:val="none"/>
        </w:rPr>
        <w:t>竞买人应当谨慎报价，报价一经提交并经网上挂牌</w:t>
      </w:r>
      <w:r>
        <w:rPr>
          <w:rFonts w:hint="default" w:ascii="Times New Roman" w:hAnsi="Times New Roman" w:eastAsia="仿宋_GB2312" w:cs="Times New Roman"/>
          <w:color w:val="auto"/>
          <w:sz w:val="31"/>
          <w:szCs w:val="31"/>
          <w:highlight w:val="none"/>
          <w:u w:val="none"/>
          <w:lang w:val="en-US" w:eastAsia="zh-CN"/>
        </w:rPr>
        <w:t>交易</w:t>
      </w:r>
      <w:r>
        <w:rPr>
          <w:rFonts w:hint="default" w:ascii="Times New Roman" w:hAnsi="Times New Roman" w:eastAsia="仿宋_GB2312" w:cs="Times New Roman"/>
          <w:color w:val="auto"/>
          <w:sz w:val="31"/>
          <w:szCs w:val="31"/>
          <w:highlight w:val="none"/>
          <w:u w:val="none"/>
        </w:rPr>
        <w:t>系统确认为有效报价</w:t>
      </w:r>
      <w:r>
        <w:rPr>
          <w:rFonts w:hint="default" w:ascii="Times New Roman" w:hAnsi="Times New Roman" w:eastAsia="仿宋_GB2312" w:cs="Times New Roman"/>
          <w:color w:val="auto"/>
          <w:sz w:val="31"/>
          <w:szCs w:val="31"/>
          <w:highlight w:val="none"/>
          <w:u w:val="none"/>
          <w:lang w:val="en-US" w:eastAsia="zh-CN"/>
        </w:rPr>
        <w:t>的</w:t>
      </w:r>
      <w:r>
        <w:rPr>
          <w:rFonts w:hint="default" w:ascii="Times New Roman" w:hAnsi="Times New Roman" w:eastAsia="仿宋_GB2312" w:cs="Times New Roman"/>
          <w:color w:val="auto"/>
          <w:sz w:val="31"/>
          <w:szCs w:val="31"/>
          <w:highlight w:val="none"/>
          <w:u w:val="none"/>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firstLine="418" w:firstLineChars="135"/>
        <w:jc w:val="both"/>
        <w:textAlignment w:val="auto"/>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（6）</w:t>
      </w:r>
      <w:r>
        <w:rPr>
          <w:rFonts w:hint="default" w:ascii="Times New Roman" w:hAnsi="Times New Roman" w:eastAsia="仿宋_GB2312" w:cs="Times New Roman"/>
          <w:color w:val="auto"/>
          <w:sz w:val="31"/>
          <w:szCs w:val="31"/>
          <w:highlight w:val="none"/>
          <w:u w:val="none"/>
          <w:lang w:val="en-US" w:eastAsia="zh-CN"/>
        </w:rPr>
        <w:t>报价不能高于最高限价</w:t>
      </w:r>
      <w:r>
        <w:rPr>
          <w:rFonts w:hint="default" w:ascii="Times New Roman" w:hAnsi="Times New Roman" w:eastAsia="仿宋_GB2312" w:cs="Times New Roman"/>
          <w:color w:val="auto"/>
          <w:sz w:val="31"/>
          <w:szCs w:val="31"/>
          <w:highlight w:val="none"/>
          <w:u w:val="none"/>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firstLine="418" w:firstLineChars="135"/>
        <w:jc w:val="both"/>
        <w:textAlignment w:val="auto"/>
        <w:outlineLvl w:val="9"/>
        <w:rPr>
          <w:rFonts w:hint="default" w:ascii="Times New Roman" w:hAnsi="Times New Roman" w:eastAsia="仿宋_GB2312" w:cs="Times New Roman"/>
          <w:color w:val="auto"/>
          <w:kern w:val="2"/>
          <w:sz w:val="31"/>
          <w:szCs w:val="31"/>
          <w:highlight w:val="none"/>
          <w:u w:val="none"/>
          <w:lang w:val="en-US" w:eastAsia="zh-CN" w:bidi="ar-SA"/>
        </w:rPr>
      </w:pPr>
      <w:r>
        <w:rPr>
          <w:rFonts w:hint="eastAsia" w:ascii="Times New Roman" w:hAnsi="Times New Roman" w:eastAsia="仿宋_GB2312" w:cs="Times New Roman"/>
          <w:color w:val="auto"/>
          <w:sz w:val="31"/>
          <w:szCs w:val="31"/>
          <w:highlight w:val="none"/>
          <w:u w:val="none"/>
          <w:lang w:val="en-US" w:eastAsia="zh-CN"/>
        </w:rPr>
        <w:t>（7）</w:t>
      </w:r>
      <w:r>
        <w:rPr>
          <w:rFonts w:hint="default" w:ascii="Times New Roman" w:hAnsi="Times New Roman" w:eastAsia="仿宋_GB2312" w:cs="Times New Roman"/>
          <w:color w:val="auto"/>
          <w:sz w:val="31"/>
          <w:szCs w:val="31"/>
          <w:highlight w:val="none"/>
          <w:u w:val="none"/>
          <w:lang w:val="en-US" w:eastAsia="zh-CN"/>
        </w:rPr>
        <w:t>不同竞买人均可报最高限价</w:t>
      </w:r>
      <w:r>
        <w:rPr>
          <w:rFonts w:hint="default" w:ascii="Times New Roman" w:hAnsi="Times New Roman" w:eastAsia="仿宋_GB2312" w:cs="Times New Roman"/>
          <w:color w:val="auto"/>
          <w:kern w:val="2"/>
          <w:sz w:val="31"/>
          <w:szCs w:val="31"/>
          <w:highlight w:val="none"/>
          <w:u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418" w:firstLineChars="135"/>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（8）</w:t>
      </w:r>
      <w:r>
        <w:rPr>
          <w:rFonts w:hint="default" w:ascii="Times New Roman" w:hAnsi="Times New Roman" w:eastAsia="仿宋_GB2312" w:cs="Times New Roman"/>
          <w:color w:val="auto"/>
          <w:sz w:val="31"/>
          <w:szCs w:val="31"/>
          <w:highlight w:val="none"/>
          <w:u w:val="none"/>
        </w:rPr>
        <w:t>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3"/>
        <w:keepNext w:val="0"/>
        <w:keepLines w:val="0"/>
        <w:widowControl/>
        <w:suppressLineNumbers w:val="0"/>
        <w:ind w:left="0" w:firstLine="645"/>
        <w:rPr>
          <w:color w:val="auto"/>
        </w:rPr>
      </w:pPr>
      <w:r>
        <w:rPr>
          <w:rFonts w:hint="eastAsia" w:ascii="Times New Roman" w:hAnsi="Times New Roman" w:eastAsia="仿宋_GB2312" w:cs="Times New Roman"/>
          <w:color w:val="auto"/>
          <w:sz w:val="31"/>
          <w:szCs w:val="31"/>
          <w:highlight w:val="none"/>
          <w:u w:val="none"/>
          <w:lang w:val="en-US" w:eastAsia="zh-CN"/>
        </w:rPr>
        <w:t>（七）</w:t>
      </w:r>
      <w:r>
        <w:rPr>
          <w:rFonts w:ascii="仿宋" w:hAnsi="仿宋" w:eastAsia="仿宋" w:cs="仿宋"/>
          <w:color w:val="auto"/>
          <w:sz w:val="31"/>
          <w:szCs w:val="31"/>
        </w:rPr>
        <w:t>确定成交候选人</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default" w:ascii="Times New Roman" w:hAnsi="Times New Roman" w:eastAsia="仿宋_GB2312" w:cs="Times New Roman"/>
          <w:color w:val="auto"/>
          <w:sz w:val="31"/>
          <w:szCs w:val="31"/>
          <w:highlight w:val="none"/>
          <w:u w:val="none"/>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1.</w:t>
      </w:r>
      <w:r>
        <w:rPr>
          <w:rFonts w:hint="default" w:ascii="Times New Roman" w:hAnsi="Times New Roman" w:eastAsia="仿宋_GB2312" w:cs="Times New Roman"/>
          <w:color w:val="auto"/>
          <w:sz w:val="31"/>
          <w:szCs w:val="31"/>
          <w:highlight w:val="none"/>
          <w:u w:val="none"/>
        </w:rPr>
        <w:t>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2.</w:t>
      </w:r>
      <w:r>
        <w:rPr>
          <w:rFonts w:hint="default" w:ascii="Times New Roman" w:hAnsi="Times New Roman" w:eastAsia="仿宋_GB2312" w:cs="Times New Roman"/>
          <w:color w:val="auto"/>
          <w:sz w:val="31"/>
          <w:szCs w:val="31"/>
          <w:highlight w:val="none"/>
          <w:u w:val="none"/>
        </w:rPr>
        <w:t>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3.</w:t>
      </w:r>
      <w:r>
        <w:rPr>
          <w:rFonts w:hint="default" w:ascii="Times New Roman" w:hAnsi="Times New Roman" w:eastAsia="仿宋_GB2312" w:cs="Times New Roman"/>
          <w:color w:val="auto"/>
          <w:sz w:val="31"/>
          <w:szCs w:val="31"/>
          <w:highlight w:val="none"/>
          <w:u w:val="none"/>
        </w:rPr>
        <w:t>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Calibri" w:hAnsi="Calibri" w:eastAsia="仿宋_GB2312" w:cs="Calibri"/>
          <w:color w:val="auto"/>
          <w:sz w:val="31"/>
          <w:szCs w:val="31"/>
          <w:highlight w:val="none"/>
          <w:u w:val="none"/>
          <w:lang w:eastAsia="zh-CN"/>
        </w:rPr>
        <w:t>（</w:t>
      </w:r>
      <w:r>
        <w:rPr>
          <w:rFonts w:hint="eastAsia" w:ascii="Calibri" w:hAnsi="Calibri" w:eastAsia="仿宋_GB2312" w:cs="Calibri"/>
          <w:color w:val="auto"/>
          <w:sz w:val="31"/>
          <w:szCs w:val="31"/>
          <w:highlight w:val="none"/>
          <w:u w:val="none"/>
          <w:lang w:val="en-US" w:eastAsia="zh-CN"/>
        </w:rPr>
        <w:t>1</w:t>
      </w:r>
      <w:r>
        <w:rPr>
          <w:rFonts w:hint="eastAsia" w:ascii="Calibri" w:hAnsi="Calibri" w:eastAsia="仿宋_GB2312" w:cs="Calibri"/>
          <w:color w:val="auto"/>
          <w:sz w:val="31"/>
          <w:szCs w:val="31"/>
          <w:highlight w:val="none"/>
          <w:u w:val="none"/>
          <w:lang w:eastAsia="zh-CN"/>
        </w:rPr>
        <w:t>）</w:t>
      </w:r>
      <w:r>
        <w:rPr>
          <w:rFonts w:hint="default" w:ascii="Times New Roman" w:hAnsi="Times New Roman" w:eastAsia="仿宋_GB2312" w:cs="Times New Roman"/>
          <w:color w:val="auto"/>
          <w:sz w:val="31"/>
          <w:szCs w:val="31"/>
          <w:highlight w:val="none"/>
          <w:u w:val="none"/>
        </w:rPr>
        <w:t>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lang w:eastAsia="zh-CN"/>
        </w:rPr>
      </w:pPr>
      <w:r>
        <w:rPr>
          <w:rFonts w:hint="eastAsia" w:ascii="Calibri" w:hAnsi="Calibri" w:eastAsia="仿宋_GB2312" w:cs="Calibri"/>
          <w:color w:val="auto"/>
          <w:sz w:val="31"/>
          <w:szCs w:val="31"/>
          <w:highlight w:val="none"/>
          <w:u w:val="none"/>
          <w:lang w:eastAsia="zh-CN"/>
        </w:rPr>
        <w:t>（</w:t>
      </w:r>
      <w:r>
        <w:rPr>
          <w:rFonts w:hint="eastAsia" w:ascii="Calibri" w:hAnsi="Calibri" w:eastAsia="仿宋_GB2312" w:cs="Calibri"/>
          <w:color w:val="auto"/>
          <w:sz w:val="31"/>
          <w:szCs w:val="31"/>
          <w:highlight w:val="none"/>
          <w:u w:val="none"/>
          <w:lang w:val="en-US" w:eastAsia="zh-CN"/>
        </w:rPr>
        <w:t>2</w:t>
      </w:r>
      <w:r>
        <w:rPr>
          <w:rFonts w:hint="eastAsia" w:ascii="Calibri" w:hAnsi="Calibri" w:eastAsia="仿宋_GB2312" w:cs="Calibri"/>
          <w:color w:val="auto"/>
          <w:sz w:val="31"/>
          <w:szCs w:val="31"/>
          <w:highlight w:val="none"/>
          <w:u w:val="none"/>
          <w:lang w:eastAsia="zh-CN"/>
        </w:rPr>
        <w:t>）</w:t>
      </w:r>
      <w:r>
        <w:rPr>
          <w:rFonts w:hint="default" w:ascii="Times New Roman" w:hAnsi="Times New Roman" w:eastAsia="仿宋_GB2312" w:cs="Times New Roman"/>
          <w:color w:val="auto"/>
          <w:sz w:val="31"/>
          <w:szCs w:val="31"/>
          <w:highlight w:val="none"/>
          <w:u w:val="none"/>
        </w:rPr>
        <w:t>在挂牌交易期限截止时 ,最高报价未达到最高限价,经电子挂牌交易系统询问，有竞买人愿意参加限时竞价的，进入限时竞价，限时竞价中最高报价未达到最高限价的,该最高报价者为竞得人</w:t>
      </w:r>
      <w:r>
        <w:rPr>
          <w:rFonts w:hint="default" w:ascii="Times New Roman" w:hAnsi="Times New Roman" w:eastAsia="仿宋_GB2312" w:cs="Times New Roman"/>
          <w:color w:val="auto"/>
          <w:sz w:val="31"/>
          <w:szCs w:val="31"/>
          <w:highlight w:val="none"/>
          <w:u w:val="none"/>
          <w:lang w:eastAsia="zh-CN"/>
        </w:rPr>
        <w:t>。</w:t>
      </w:r>
    </w:p>
    <w:p>
      <w:pPr>
        <w:tabs>
          <w:tab w:val="left" w:pos="3388"/>
        </w:tabs>
        <w:spacing w:line="560" w:lineRule="exact"/>
        <w:ind w:left="0" w:leftChars="0" w:firstLine="638" w:firstLineChars="206"/>
        <w:jc w:val="both"/>
        <w:rPr>
          <w:rFonts w:hint="default" w:ascii="Times New Roman" w:hAnsi="Times New Roman" w:eastAsia="仿宋_GB2312" w:cs="Times New Roman"/>
          <w:color w:val="auto"/>
          <w:sz w:val="31"/>
          <w:szCs w:val="31"/>
          <w:highlight w:val="none"/>
          <w:u w:val="none"/>
        </w:rPr>
      </w:pPr>
      <w:r>
        <w:rPr>
          <w:rFonts w:hint="default" w:ascii="Times New Roman" w:hAnsi="Times New Roman" w:eastAsia="仿宋_GB2312" w:cs="Times New Roman"/>
          <w:color w:val="auto"/>
          <w:sz w:val="31"/>
          <w:szCs w:val="31"/>
          <w:highlight w:val="none"/>
          <w:u w:val="none"/>
          <w:lang w:val="en-US" w:eastAsia="zh-CN"/>
        </w:rPr>
        <w:t>进入限时竞价，限时竞价中</w:t>
      </w:r>
      <w:r>
        <w:rPr>
          <w:rFonts w:hint="default" w:ascii="Times New Roman" w:hAnsi="Times New Roman" w:eastAsia="仿宋_GB2312" w:cs="Times New Roman"/>
          <w:color w:val="auto"/>
          <w:sz w:val="31"/>
          <w:szCs w:val="31"/>
          <w:highlight w:val="none"/>
          <w:u w:val="none"/>
        </w:rPr>
        <w:t>最高报价达到最高限价</w:t>
      </w:r>
      <w:r>
        <w:rPr>
          <w:rFonts w:hint="default" w:ascii="Times New Roman" w:hAnsi="Times New Roman" w:eastAsia="仿宋_GB2312" w:cs="Times New Roman"/>
          <w:color w:val="auto"/>
          <w:sz w:val="31"/>
          <w:szCs w:val="31"/>
          <w:highlight w:val="none"/>
          <w:u w:val="none"/>
          <w:lang w:val="en-US" w:eastAsia="zh-CN"/>
        </w:rPr>
        <w:t>的</w:t>
      </w:r>
      <w:r>
        <w:rPr>
          <w:rFonts w:hint="default" w:ascii="Times New Roman" w:hAnsi="Times New Roman" w:eastAsia="仿宋_GB2312" w:cs="Times New Roman"/>
          <w:color w:val="auto"/>
          <w:sz w:val="31"/>
          <w:szCs w:val="31"/>
          <w:highlight w:val="none"/>
          <w:u w:val="none"/>
        </w:rPr>
        <w:t>，</w:t>
      </w:r>
      <w:r>
        <w:rPr>
          <w:rFonts w:hint="default" w:ascii="Times New Roman" w:hAnsi="Times New Roman" w:eastAsia="仿宋_GB2312" w:cs="Times New Roman"/>
          <w:color w:val="auto"/>
          <w:sz w:val="31"/>
          <w:szCs w:val="31"/>
          <w:highlight w:val="none"/>
          <w:u w:val="none"/>
          <w:lang w:val="en-US" w:eastAsia="zh-CN"/>
        </w:rPr>
        <w:t>若</w:t>
      </w:r>
      <w:r>
        <w:rPr>
          <w:rFonts w:hint="default" w:ascii="Times New Roman" w:hAnsi="Times New Roman" w:eastAsia="仿宋_GB2312" w:cs="Times New Roman"/>
          <w:color w:val="auto"/>
          <w:sz w:val="31"/>
          <w:szCs w:val="31"/>
          <w:highlight w:val="none"/>
          <w:u w:val="none"/>
        </w:rPr>
        <w:t>只有</w:t>
      </w:r>
      <w:r>
        <w:rPr>
          <w:rFonts w:hint="default" w:ascii="Times New Roman" w:hAnsi="Times New Roman" w:eastAsia="仿宋_GB2312" w:cs="Times New Roman"/>
          <w:color w:val="auto"/>
          <w:sz w:val="31"/>
          <w:szCs w:val="31"/>
          <w:highlight w:val="none"/>
          <w:u w:val="none"/>
          <w:lang w:val="en-US" w:eastAsia="zh-CN"/>
        </w:rPr>
        <w:t>1个</w:t>
      </w:r>
      <w:r>
        <w:rPr>
          <w:rFonts w:hint="default" w:ascii="Times New Roman" w:hAnsi="Times New Roman" w:eastAsia="仿宋_GB2312" w:cs="Times New Roman"/>
          <w:color w:val="auto"/>
          <w:sz w:val="31"/>
          <w:szCs w:val="31"/>
          <w:highlight w:val="none"/>
          <w:u w:val="none"/>
        </w:rPr>
        <w:t>竞买人报最高限价，该报价者为竞得人</w:t>
      </w:r>
      <w:r>
        <w:rPr>
          <w:rFonts w:hint="default" w:ascii="Times New Roman" w:hAnsi="Times New Roman" w:eastAsia="仿宋_GB2312" w:cs="Times New Roman"/>
          <w:color w:val="auto"/>
          <w:sz w:val="31"/>
          <w:szCs w:val="31"/>
          <w:highlight w:val="none"/>
          <w:u w:val="none"/>
          <w:lang w:eastAsia="zh-CN"/>
        </w:rPr>
        <w:t>；</w:t>
      </w:r>
      <w:r>
        <w:rPr>
          <w:rFonts w:hint="default" w:ascii="Times New Roman" w:hAnsi="Times New Roman" w:eastAsia="仿宋_GB2312" w:cs="Times New Roman"/>
          <w:color w:val="auto"/>
          <w:sz w:val="31"/>
          <w:szCs w:val="31"/>
          <w:highlight w:val="none"/>
          <w:u w:val="none"/>
          <w:lang w:val="en-US" w:eastAsia="zh-CN"/>
        </w:rPr>
        <w:t>若</w:t>
      </w:r>
      <w:r>
        <w:rPr>
          <w:rFonts w:hint="default" w:ascii="Times New Roman" w:hAnsi="Times New Roman" w:eastAsia="仿宋_GB2312" w:cs="Times New Roman"/>
          <w:color w:val="auto"/>
          <w:sz w:val="31"/>
          <w:szCs w:val="31"/>
          <w:highlight w:val="none"/>
          <w:u w:val="none"/>
        </w:rPr>
        <w:t>有</w:t>
      </w:r>
      <w:r>
        <w:rPr>
          <w:rFonts w:hint="default" w:ascii="Times New Roman" w:hAnsi="Times New Roman" w:eastAsia="仿宋_GB2312" w:cs="Times New Roman"/>
          <w:color w:val="auto"/>
          <w:sz w:val="31"/>
          <w:szCs w:val="31"/>
          <w:highlight w:val="none"/>
          <w:u w:val="none"/>
          <w:lang w:val="en-US" w:eastAsia="zh-CN"/>
        </w:rPr>
        <w:t>2个</w:t>
      </w:r>
      <w:r>
        <w:rPr>
          <w:rFonts w:hint="default" w:ascii="Times New Roman" w:hAnsi="Times New Roman" w:eastAsia="仿宋_GB2312" w:cs="Times New Roman"/>
          <w:color w:val="auto"/>
          <w:sz w:val="31"/>
          <w:szCs w:val="31"/>
          <w:highlight w:val="none"/>
          <w:u w:val="none"/>
        </w:rPr>
        <w:t>以上竞买人报最高限价，系统将选取报最高限价的竞买号进行摇号，采取摇号的方式在规定的时间内确定竞得人。</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（八）成交候选人竞买资格审查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本宗国有建设用地使用权网上挂牌出让实行竞买资格后置审查。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不符合竞买资格的，取消成交候选人资格，竞价结果无效。</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（九）公布交易结果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确定竞得人后，竞得人按挂牌交易公告规定的时间与委托人、本中心签订成交确认书，竞得人根据成交确认书约定的时间与委托人签订交易合同。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六、系统操作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网上挂牌交易系统竞买人操作视频可在本中心网上挂牌交易系统（https://www.hzgtjy.com/）下载。</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七、注意事项</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宋体" w:hAnsi="宋体" w:eastAsia="宋体" w:cs="宋体"/>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lang w:eastAsia="zh-CN"/>
        </w:rPr>
        <w:t>（</w:t>
      </w:r>
      <w:r>
        <w:rPr>
          <w:rFonts w:hint="eastAsia" w:ascii="宋体" w:hAnsi="宋体" w:eastAsia="宋体" w:cs="宋体"/>
          <w:color w:val="auto"/>
          <w:sz w:val="31"/>
          <w:szCs w:val="31"/>
          <w:lang w:val="en-US" w:eastAsia="zh-CN"/>
        </w:rPr>
        <w:t>四</w:t>
      </w:r>
      <w:r>
        <w:rPr>
          <w:rFonts w:hint="eastAsia" w:ascii="宋体" w:hAnsi="宋体" w:eastAsia="宋体" w:cs="宋体"/>
          <w:color w:val="auto"/>
          <w:sz w:val="31"/>
          <w:szCs w:val="31"/>
          <w:lang w:eastAsia="zh-CN"/>
        </w:rPr>
        <w:t>）</w:t>
      </w:r>
      <w:r>
        <w:rPr>
          <w:rFonts w:hint="eastAsia" w:ascii="宋体" w:hAnsi="宋体" w:eastAsia="宋体" w:cs="宋体"/>
          <w:color w:val="auto"/>
          <w:sz w:val="31"/>
          <w:szCs w:val="31"/>
        </w:rPr>
        <w:t>《竞价结果通知书》对委托人和成交候选人具有法律效力，委托人改变网上挂牌结果的，或者成交候选人放弃竞得宗地的，应当承担相应法律责任。</w:t>
      </w:r>
    </w:p>
    <w:p>
      <w:pPr>
        <w:pStyle w:val="3"/>
        <w:keepNext w:val="0"/>
        <w:keepLines w:val="0"/>
        <w:widowControl/>
        <w:numPr>
          <w:ilvl w:val="0"/>
          <w:numId w:val="0"/>
        </w:numPr>
        <w:suppressLineNumbers w:val="0"/>
        <w:ind w:right="0" w:rightChars="0" w:firstLine="620" w:firstLineChars="200"/>
        <w:rPr>
          <w:color w:val="auto"/>
        </w:rPr>
      </w:pPr>
      <w:r>
        <w:rPr>
          <w:rFonts w:hint="eastAsia" w:ascii="宋体" w:hAnsi="宋体" w:eastAsia="宋体" w:cs="宋体"/>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（五）本中心受托提供代收代退竞买保证金服务，</w:t>
      </w:r>
      <w:r>
        <w:rPr>
          <w:rFonts w:hint="eastAsia" w:ascii="宋体" w:hAnsi="宋体" w:eastAsia="宋体" w:cs="宋体"/>
          <w:color w:val="auto"/>
          <w:sz w:val="31"/>
          <w:szCs w:val="31"/>
          <w:lang w:val="en-US" w:eastAsia="zh-CN"/>
        </w:rPr>
        <w:t>只接受</w:t>
      </w:r>
      <w:r>
        <w:rPr>
          <w:rFonts w:hint="eastAsia" w:ascii="宋体" w:hAnsi="宋体" w:eastAsia="宋体" w:cs="宋体"/>
          <w:color w:val="auto"/>
          <w:sz w:val="31"/>
          <w:szCs w:val="31"/>
        </w:rPr>
        <w:t>以人民币缴纳的竞买保证金</w:t>
      </w:r>
      <w:r>
        <w:rPr>
          <w:rFonts w:hint="eastAsia" w:ascii="宋体" w:hAnsi="宋体" w:eastAsia="宋体" w:cs="宋体"/>
          <w:color w:val="auto"/>
          <w:sz w:val="31"/>
          <w:szCs w:val="31"/>
          <w:lang w:eastAsia="zh-CN"/>
        </w:rPr>
        <w:t>。</w:t>
      </w:r>
      <w:r>
        <w:rPr>
          <w:rFonts w:hint="eastAsia" w:ascii="宋体" w:hAnsi="宋体" w:eastAsia="宋体" w:cs="宋体"/>
          <w:color w:val="auto"/>
          <w:sz w:val="31"/>
          <w:szCs w:val="31"/>
        </w:rPr>
        <w:t>未竞得人缴纳的竞买保证金将于电子挂牌交易活动结束之日起5个工作日内通过网上退还的形式原路退还保证金，不计利息。</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竞得人交纳的竞买保证金转付成交价款，办理转付成交价款手续应带齐如下相关资料：</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委托方开具的银行端查询缴税凭证；</w:t>
      </w:r>
    </w:p>
    <w:p>
      <w:pPr>
        <w:pStyle w:val="3"/>
        <w:keepNext w:val="0"/>
        <w:keepLines w:val="0"/>
        <w:widowControl/>
        <w:suppressLineNumbers w:val="0"/>
        <w:spacing w:before="0" w:beforeAutospacing="0" w:after="0" w:afterAutospacing="0"/>
        <w:ind w:left="420" w:right="0" w:firstLine="210"/>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委托方开具的惠州市非税收入缴款通知；</w:t>
      </w:r>
    </w:p>
    <w:p>
      <w:pPr>
        <w:pStyle w:val="3"/>
        <w:keepNext w:val="0"/>
        <w:keepLines w:val="0"/>
        <w:widowControl/>
        <w:suppressLineNumbers w:val="0"/>
        <w:spacing w:before="0" w:beforeAutospacing="0" w:after="0" w:afterAutospacing="0"/>
        <w:ind w:left="420" w:right="0" w:firstLine="210"/>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竞价结果通知书；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保证金到账通知书；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保证金转账凭证。</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（十一）出让公告、竞买须知及相关交易文件需要修改、补充时，将通过原公告发布渠道公告，不作另行通知。</w:t>
      </w:r>
    </w:p>
    <w:p>
      <w:pPr>
        <w:pStyle w:val="3"/>
        <w:keepNext w:val="0"/>
        <w:keepLines w:val="0"/>
        <w:widowControl/>
        <w:suppressLineNumbers w:val="0"/>
        <w:rPr>
          <w:color w:val="auto"/>
        </w:rPr>
      </w:pPr>
      <w:r>
        <w:rPr>
          <w:rFonts w:hint="eastAsia" w:ascii="宋体" w:hAnsi="宋体" w:eastAsia="宋体" w:cs="宋体"/>
          <w:color w:val="auto"/>
          <w:sz w:val="31"/>
          <w:szCs w:val="31"/>
        </w:rPr>
        <w:t>  申请人应当及时关注该宗地的网上挂牌交易信息。本中心发出的修改、补充公告，与出让公告、竞买须知及相关交易文件具有同等效力。若与出让公告、竞买须知及相关交易文件有矛盾时，以日期在后者为准。</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（十二）本竞买须知及出让公告涉及的时间期限，以网上挂牌交易系统服务器的时间为准。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（十三）本中心对本《须知》有解释权。未尽事宜依照《招标拍卖挂牌出让国有土地使用权规范》办理。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default" w:eastAsia="宋体"/>
          <w:color w:val="auto"/>
          <w:lang w:val="en-US" w:eastAsia="zh-CN"/>
        </w:rPr>
      </w:pPr>
      <w:r>
        <w:rPr>
          <w:rFonts w:hint="eastAsia" w:ascii="宋体" w:hAnsi="宋体" w:eastAsia="宋体" w:cs="宋体"/>
          <w:color w:val="auto"/>
          <w:sz w:val="31"/>
          <w:szCs w:val="31"/>
        </w:rPr>
        <w:t>         惠州市公共资源交易中心</w:t>
      </w:r>
      <w:r>
        <w:rPr>
          <w:rFonts w:hint="eastAsia" w:ascii="宋体" w:hAnsi="宋体" w:eastAsia="宋体" w:cs="宋体"/>
          <w:color w:val="auto"/>
          <w:sz w:val="31"/>
          <w:szCs w:val="31"/>
          <w:lang w:val="en-US" w:eastAsia="zh-CN"/>
        </w:rPr>
        <w:t>大亚湾分中心</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2023年</w:t>
      </w:r>
      <w:r>
        <w:rPr>
          <w:rFonts w:hint="eastAsia" w:ascii="宋体" w:hAnsi="宋体" w:eastAsia="宋体" w:cs="宋体"/>
          <w:color w:val="auto"/>
          <w:sz w:val="31"/>
          <w:szCs w:val="31"/>
          <w:lang w:val="en-US" w:eastAsia="zh-CN"/>
        </w:rPr>
        <w:t>6</w:t>
      </w:r>
      <w:r>
        <w:rPr>
          <w:rFonts w:hint="eastAsia" w:ascii="宋体" w:hAnsi="宋体" w:eastAsia="宋体" w:cs="宋体"/>
          <w:color w:val="auto"/>
          <w:sz w:val="31"/>
          <w:szCs w:val="31"/>
        </w:rPr>
        <w:t>月</w:t>
      </w:r>
      <w:r>
        <w:rPr>
          <w:rFonts w:hint="eastAsia" w:ascii="宋体" w:hAnsi="宋体" w:eastAsia="宋体" w:cs="宋体"/>
          <w:color w:val="auto"/>
          <w:sz w:val="31"/>
          <w:szCs w:val="31"/>
          <w:lang w:val="en-US" w:eastAsia="zh-CN"/>
        </w:rPr>
        <w:t>27</w:t>
      </w:r>
      <w:bookmarkStart w:id="0" w:name="_GoBack"/>
      <w:bookmarkEnd w:id="0"/>
      <w:r>
        <w:rPr>
          <w:rFonts w:hint="eastAsia" w:ascii="宋体" w:hAnsi="宋体" w:eastAsia="宋体" w:cs="宋体"/>
          <w:color w:val="auto"/>
          <w:sz w:val="31"/>
          <w:szCs w:val="31"/>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3637"/>
    <w:rsid w:val="0C9E4D0C"/>
    <w:rsid w:val="1C351F2A"/>
    <w:rsid w:val="22D25AFC"/>
    <w:rsid w:val="32E546BE"/>
    <w:rsid w:val="362079E3"/>
    <w:rsid w:val="39EE517D"/>
    <w:rsid w:val="3B6A33EB"/>
    <w:rsid w:val="517361A3"/>
    <w:rsid w:val="55636CB1"/>
    <w:rsid w:val="5C1A1D6C"/>
    <w:rsid w:val="5D7068CB"/>
    <w:rsid w:val="70507F61"/>
    <w:rsid w:val="77A3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sz w:val="28"/>
      <w:szCs w:val="20"/>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uiPriority w:val="0"/>
    <w:rPr>
      <w:i/>
      <w:iCs/>
    </w:rPr>
  </w:style>
  <w:style w:type="character" w:styleId="9">
    <w:name w:val="Hyperlink"/>
    <w:basedOn w:val="5"/>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2023-06-16T03:45:00Z</cp:lastPrinted>
  <dcterms:modified xsi:type="dcterms:W3CDTF">2023-06-26T01:19:23Z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47A24FD07F744111BA873DF7BD29A235</vt:lpwstr>
  </property>
</Properties>
</file>