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5</w:t>
      </w:r>
      <w:r>
        <w:rPr>
          <w:rFonts w:hint="eastAsia" w:ascii="宋体" w:hAnsi="宋体" w:cs="宋体"/>
          <w:b/>
          <w:bCs/>
          <w:sz w:val="32"/>
          <w:szCs w:val="32"/>
        </w:rPr>
        <w:t>〕</w:t>
      </w:r>
      <w:r>
        <w:rPr>
          <w:rFonts w:hint="eastAsia" w:ascii="仿宋" w:hAnsi="仿宋" w:eastAsia="仿宋" w:cs="仿宋_GB2312"/>
          <w:b/>
          <w:bCs/>
          <w:sz w:val="32"/>
          <w:szCs w:val="32"/>
          <w:lang w:val="en-US" w:eastAsia="zh-CN"/>
        </w:rPr>
        <w:t>032</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5、竞得人在用地红线内开发建设必须符合城市规划要求，必须按《规划条件告知书》（</w:t>
      </w:r>
      <w:r>
        <w:rPr>
          <w:rFonts w:hint="eastAsia" w:ascii="仿宋" w:hAnsi="仿宋" w:eastAsia="仿宋" w:cs="仿宋"/>
          <w:b w:val="0"/>
          <w:bCs w:val="0"/>
          <w:color w:val="auto"/>
          <w:kern w:val="0"/>
          <w:sz w:val="32"/>
          <w:szCs w:val="32"/>
          <w:lang w:val="en-US" w:eastAsia="zh-CN"/>
        </w:rPr>
        <w:t>惠东自资规条字</w:t>
      </w:r>
      <w:r>
        <w:rPr>
          <w:rFonts w:hint="eastAsia" w:ascii="仿宋" w:hAnsi="仿宋" w:eastAsia="仿宋" w:cs="仿宋"/>
          <w:sz w:val="32"/>
          <w:lang w:val="en-US" w:eastAsia="zh-CN"/>
        </w:rPr>
        <w:t>DL〔2025〕16</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规划控制指标要求及有关规定进行规划设计；</w:t>
      </w:r>
    </w:p>
    <w:p>
      <w:pPr>
        <w:ind w:firstLine="640" w:firstLineChars="200"/>
        <w:rPr>
          <w:rFonts w:hint="eastAsia" w:eastAsia="仿宋"/>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（2）广发银行股份有限公司</w:t>
      </w:r>
      <w:r>
        <w:rPr>
          <w:rFonts w:hint="eastAsia" w:ascii="仿宋" w:hAnsi="仿宋" w:eastAsia="仿宋" w:cs="仿宋"/>
          <w:sz w:val="32"/>
          <w:szCs w:val="32"/>
          <w:lang w:eastAsia="zh-CN"/>
        </w:rPr>
        <w:t>惠州</w:t>
      </w:r>
      <w:r>
        <w:rPr>
          <w:rFonts w:hint="eastAsia" w:ascii="仿宋" w:hAnsi="仿宋" w:eastAsia="仿宋" w:cs="仿宋"/>
          <w:sz w:val="32"/>
          <w:szCs w:val="32"/>
        </w:rPr>
        <w:t>惠东支行；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8"/>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8"/>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w:t>
      </w:r>
    </w:p>
    <w:p>
      <w:pPr>
        <w:rPr>
          <w:rFonts w:hint="eastAsia" w:ascii="仿宋" w:hAnsi="仿宋" w:eastAsia="仿宋" w:cs="华文仿宋"/>
          <w:sz w:val="32"/>
          <w:szCs w:val="32"/>
        </w:rPr>
      </w:pPr>
      <w:r>
        <w:rPr>
          <w:rFonts w:hint="eastAsia" w:ascii="仿宋" w:hAnsi="仿宋" w:eastAsia="仿宋" w:cs="华文仿宋"/>
          <w:sz w:val="32"/>
          <w:szCs w:val="32"/>
        </w:rPr>
        <w:t>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w:t>
      </w:r>
    </w:p>
    <w:p>
      <w:pPr>
        <w:rPr>
          <w:rFonts w:hint="eastAsia" w:ascii="仿宋" w:hAnsi="仿宋" w:eastAsia="仿宋" w:cs="华文仿宋"/>
          <w:sz w:val="32"/>
          <w:szCs w:val="32"/>
        </w:rPr>
      </w:pPr>
      <w:r>
        <w:rPr>
          <w:rFonts w:hint="eastAsia" w:ascii="仿宋" w:hAnsi="仿宋" w:eastAsia="仿宋" w:cs="华文仿宋"/>
          <w:sz w:val="32"/>
          <w:szCs w:val="32"/>
        </w:rPr>
        <w:t>件（按模板填写）；</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（八）联合竞买协议（联合竞买情形的提供，加盖公章）；</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九</w:t>
      </w:r>
      <w:r>
        <w:rPr>
          <w:rFonts w:hint="eastAsia" w:ascii="仿宋" w:hAnsi="仿宋" w:eastAsia="仿宋" w:cs="华文仿宋"/>
          <w:sz w:val="32"/>
          <w:szCs w:val="32"/>
        </w:rPr>
        <w:t>）《</w:t>
      </w:r>
      <w:r>
        <w:rPr>
          <w:rFonts w:hint="eastAsia" w:ascii="仿宋" w:hAnsi="仿宋" w:eastAsia="仿宋" w:cs="仿宋"/>
          <w:b w:val="0"/>
          <w:bCs w:val="0"/>
          <w:color w:val="auto"/>
          <w:kern w:val="2"/>
          <w:sz w:val="32"/>
          <w:szCs w:val="32"/>
          <w:lang w:val="en-US" w:eastAsia="zh-CN"/>
        </w:rPr>
        <w:t>惠东项目建设投资监管协议书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惠市政数〔2025〕13号</w:t>
      </w:r>
      <w:r>
        <w:rPr>
          <w:rFonts w:hint="eastAsia" w:ascii="仿宋" w:hAnsi="仿宋" w:eastAsia="仿宋" w:cs="仿宋"/>
          <w:sz w:val="32"/>
          <w:szCs w:val="32"/>
          <w:lang w:eastAsia="zh-CN"/>
        </w:rPr>
        <w:t>）</w:t>
      </w:r>
      <w:r>
        <w:rPr>
          <w:rFonts w:hint="eastAsia" w:ascii="仿宋" w:hAnsi="仿宋" w:eastAsia="仿宋" w:cs="仿宋"/>
          <w:sz w:val="32"/>
          <w:szCs w:val="32"/>
        </w:rPr>
        <w:t>，竞买申请一经受理确认后，即视为竞买人对挂牌出让公告、竞买须知、相关交易文件及地块现状无异议并全部接受，对有关承诺承担法律责任。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ind w:firstLine="2880" w:firstLineChars="900"/>
        <w:jc w:val="both"/>
        <w:rPr>
          <w:rFonts w:ascii="仿宋" w:hAnsi="仿宋" w:eastAsia="仿宋" w:cs="仿宋"/>
          <w:sz w:val="32"/>
          <w:szCs w:val="32"/>
        </w:rPr>
      </w:pPr>
      <w:r>
        <w:rPr>
          <w:rFonts w:hint="eastAsia" w:ascii="仿宋" w:hAnsi="仿宋" w:eastAsia="仿宋" w:cs="仿宋"/>
          <w:sz w:val="32"/>
          <w:szCs w:val="32"/>
        </w:rPr>
        <w:t>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21</w:t>
      </w:r>
      <w:bookmarkStart w:id="1" w:name="_GoBack"/>
      <w:bookmarkEnd w:id="1"/>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0ED2844"/>
    <w:rsid w:val="01D3656D"/>
    <w:rsid w:val="021C58BE"/>
    <w:rsid w:val="0368414F"/>
    <w:rsid w:val="03E4664D"/>
    <w:rsid w:val="04347932"/>
    <w:rsid w:val="05036E4E"/>
    <w:rsid w:val="06587A83"/>
    <w:rsid w:val="069C7F64"/>
    <w:rsid w:val="07EB639F"/>
    <w:rsid w:val="08FE7D79"/>
    <w:rsid w:val="098D6F71"/>
    <w:rsid w:val="0A2D27D6"/>
    <w:rsid w:val="0A8567FF"/>
    <w:rsid w:val="0B353F6E"/>
    <w:rsid w:val="0BC8275B"/>
    <w:rsid w:val="0C413FEF"/>
    <w:rsid w:val="0D96631E"/>
    <w:rsid w:val="0F15236E"/>
    <w:rsid w:val="0F586A0D"/>
    <w:rsid w:val="0F8728CB"/>
    <w:rsid w:val="1138689E"/>
    <w:rsid w:val="12413F80"/>
    <w:rsid w:val="12964DAF"/>
    <w:rsid w:val="14481734"/>
    <w:rsid w:val="14A678D0"/>
    <w:rsid w:val="15957ACE"/>
    <w:rsid w:val="15B6774B"/>
    <w:rsid w:val="15F52E01"/>
    <w:rsid w:val="174C6453"/>
    <w:rsid w:val="17895AAB"/>
    <w:rsid w:val="193B2C44"/>
    <w:rsid w:val="198C1105"/>
    <w:rsid w:val="199F6C8D"/>
    <w:rsid w:val="1A8B48D7"/>
    <w:rsid w:val="1BF0598A"/>
    <w:rsid w:val="1CAC3553"/>
    <w:rsid w:val="1DAD3E49"/>
    <w:rsid w:val="1F8A17DA"/>
    <w:rsid w:val="1FFD75D8"/>
    <w:rsid w:val="206C4B95"/>
    <w:rsid w:val="21FF6D70"/>
    <w:rsid w:val="224C5F2F"/>
    <w:rsid w:val="225D46F6"/>
    <w:rsid w:val="234B10F5"/>
    <w:rsid w:val="24134E9E"/>
    <w:rsid w:val="2430365E"/>
    <w:rsid w:val="24EC4FEB"/>
    <w:rsid w:val="2522755B"/>
    <w:rsid w:val="253915A5"/>
    <w:rsid w:val="28880243"/>
    <w:rsid w:val="28890BEC"/>
    <w:rsid w:val="28F50888"/>
    <w:rsid w:val="2987215F"/>
    <w:rsid w:val="2A467F84"/>
    <w:rsid w:val="2A4E247F"/>
    <w:rsid w:val="2B6535CC"/>
    <w:rsid w:val="2B726945"/>
    <w:rsid w:val="2C652B1C"/>
    <w:rsid w:val="2E787FBF"/>
    <w:rsid w:val="2EEB0850"/>
    <w:rsid w:val="2FCC3A6A"/>
    <w:rsid w:val="31993A95"/>
    <w:rsid w:val="31CE04BB"/>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28C3999"/>
    <w:rsid w:val="42AE534E"/>
    <w:rsid w:val="42E17B48"/>
    <w:rsid w:val="43E12AFB"/>
    <w:rsid w:val="464666A1"/>
    <w:rsid w:val="468E471D"/>
    <w:rsid w:val="46B574D6"/>
    <w:rsid w:val="47CD3E73"/>
    <w:rsid w:val="4A497E70"/>
    <w:rsid w:val="4A751132"/>
    <w:rsid w:val="4BB137D9"/>
    <w:rsid w:val="4D2E4C77"/>
    <w:rsid w:val="4F590142"/>
    <w:rsid w:val="4F624AF9"/>
    <w:rsid w:val="50D04F55"/>
    <w:rsid w:val="513A5026"/>
    <w:rsid w:val="54605AC5"/>
    <w:rsid w:val="560B6EB6"/>
    <w:rsid w:val="574C278E"/>
    <w:rsid w:val="596E6608"/>
    <w:rsid w:val="59964266"/>
    <w:rsid w:val="5B8027AB"/>
    <w:rsid w:val="5D1879C1"/>
    <w:rsid w:val="5D3F3390"/>
    <w:rsid w:val="5D497381"/>
    <w:rsid w:val="5E373C13"/>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91B3097"/>
    <w:rsid w:val="69F7647F"/>
    <w:rsid w:val="6AC34BC3"/>
    <w:rsid w:val="6B343C28"/>
    <w:rsid w:val="6BE05A8B"/>
    <w:rsid w:val="6C026FB6"/>
    <w:rsid w:val="6CA57501"/>
    <w:rsid w:val="6DE00A2C"/>
    <w:rsid w:val="6E1045E8"/>
    <w:rsid w:val="714128A2"/>
    <w:rsid w:val="71C379DC"/>
    <w:rsid w:val="737B7F1F"/>
    <w:rsid w:val="745676AC"/>
    <w:rsid w:val="76583AAF"/>
    <w:rsid w:val="766A2811"/>
    <w:rsid w:val="7723477C"/>
    <w:rsid w:val="777438A8"/>
    <w:rsid w:val="786543D7"/>
    <w:rsid w:val="78AC2EB7"/>
    <w:rsid w:val="79CB18BC"/>
    <w:rsid w:val="7ADC36C2"/>
    <w:rsid w:val="7B293CFA"/>
    <w:rsid w:val="7B813478"/>
    <w:rsid w:val="7CCA02FD"/>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陈斯敏</cp:lastModifiedBy>
  <dcterms:modified xsi:type="dcterms:W3CDTF">2025-10-20T02:50:43Z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5813F8A5B87A4C18B47A435296840628</vt:lpwstr>
  </property>
</Properties>
</file>