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bookmarkStart w:id="3" w:name="_GoBack"/>
      <w:bookmarkStart w:id="0" w:name="OLE_LINK1"/>
      <w:bookmarkStart w:id="1" w:name="OLE_LINK2"/>
      <w:bookmarkStart w:id="2" w:name="OLE_LINK3"/>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w:t>
      </w:r>
      <w:r>
        <w:rPr>
          <w:rFonts w:hint="eastAsia" w:ascii="仿宋" w:hAnsi="仿宋" w:eastAsia="仿宋" w:cs="仿宋_GB2312"/>
          <w:b/>
          <w:bCs/>
          <w:sz w:val="32"/>
          <w:szCs w:val="32"/>
          <w:lang w:val="en-US" w:eastAsia="zh-CN"/>
        </w:rPr>
        <w:t>6</w:t>
      </w:r>
      <w:r>
        <w:rPr>
          <w:rFonts w:hint="eastAsia" w:ascii="宋体" w:hAnsi="宋体" w:cs="宋体"/>
          <w:b/>
          <w:bCs/>
          <w:sz w:val="32"/>
          <w:szCs w:val="32"/>
        </w:rPr>
        <w:t>〕</w:t>
      </w:r>
      <w:r>
        <w:rPr>
          <w:rFonts w:hint="eastAsia" w:ascii="仿宋" w:hAnsi="仿宋" w:eastAsia="仿宋" w:cs="仿宋_GB2312"/>
          <w:b/>
          <w:bCs/>
          <w:sz w:val="32"/>
          <w:szCs w:val="32"/>
          <w:lang w:val="en-US" w:eastAsia="zh-CN"/>
        </w:rPr>
        <w:t>012</w:t>
      </w:r>
      <w:r>
        <w:rPr>
          <w:rFonts w:hint="eastAsia" w:ascii="仿宋" w:hAnsi="仿宋" w:eastAsia="仿宋" w:cs="仿宋_GB2312"/>
          <w:b/>
          <w:bCs/>
          <w:sz w:val="32"/>
          <w:szCs w:val="32"/>
        </w:rPr>
        <w:t>号</w:t>
      </w:r>
    </w:p>
    <w:bookmarkEnd w:id="0"/>
    <w:p>
      <w:pPr>
        <w:ind w:firstLine="640" w:firstLineChars="200"/>
        <w:rPr>
          <w:rFonts w:ascii="仿宋" w:hAnsi="仿宋" w:eastAsia="仿宋" w:cs="仿宋"/>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二、本宗国有建设用地使用权网上挂牌出让遵循公开、公平、公正和诚实信用原则。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三、中华人民共和国境内外的</w:t>
      </w:r>
      <w:r>
        <w:rPr>
          <w:rFonts w:hint="eastAsia" w:ascii="仿宋_GB2312" w:hAnsi="仿宋_GB2312" w:eastAsia="仿宋_GB2312" w:cs="仿宋_GB2312"/>
          <w:sz w:val="32"/>
          <w:szCs w:val="32"/>
          <w:lang w:eastAsia="zh-CN"/>
        </w:rPr>
        <w:t>自然人、</w:t>
      </w:r>
      <w:r>
        <w:rPr>
          <w:rFonts w:hint="eastAsia" w:ascii="仿宋_GB2312" w:hAnsi="仿宋_GB2312" w:eastAsia="仿宋_GB2312" w:cs="仿宋_GB2312"/>
          <w:sz w:val="32"/>
          <w:szCs w:val="32"/>
        </w:rPr>
        <w:t>法人和其他组织（除法律法规另有规定外），符合竞买资格的，均可通过电子交易系统，申请参加电子挂牌交易活动。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国有建设用地使用权网上挂牌出让公告（以下简称“挂牌出让公告”）对竞买资格有特别要求的，以挂牌出让公告为准。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四、申请人对网上挂牌出让文件有疑问的，可在网上挂牌活动开始前以书面或者口头方式向</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自然资源局咨询。有意竞买者可自行踏勘现场（可在</w:t>
      </w:r>
      <w:r>
        <w:rPr>
          <w:rFonts w:hint="eastAsia" w:ascii="仿宋_GB2312" w:hAnsi="仿宋_GB2312" w:eastAsia="仿宋_GB2312" w:cs="仿宋_GB2312"/>
          <w:sz w:val="32"/>
          <w:szCs w:val="32"/>
          <w:lang w:eastAsia="zh-CN"/>
        </w:rPr>
        <w:t>电子交易系统</w:t>
      </w:r>
      <w:r>
        <w:rPr>
          <w:rFonts w:hint="eastAsia" w:ascii="仿宋_GB2312" w:hAnsi="仿宋_GB2312" w:eastAsia="仿宋_GB2312" w:cs="仿宋_GB2312"/>
          <w:sz w:val="32"/>
          <w:szCs w:val="32"/>
        </w:rPr>
        <w:t>查阅位置图和现状图）。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五、网上挂牌交易程序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（一）发布网上挂牌信息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有关宗地的</w:t>
      </w:r>
      <w:r>
        <w:rPr>
          <w:rFonts w:hint="eastAsia" w:ascii="仿宋_GB2312" w:hAnsi="仿宋_GB2312" w:eastAsia="仿宋_GB2312" w:cs="仿宋_GB2312"/>
          <w:sz w:val="32"/>
          <w:szCs w:val="32"/>
          <w:lang w:eastAsia="zh-CN"/>
        </w:rPr>
        <w:t>网上</w:t>
      </w:r>
      <w:r>
        <w:rPr>
          <w:rFonts w:hint="eastAsia" w:ascii="仿宋_GB2312" w:hAnsi="仿宋_GB2312" w:eastAsia="仿宋_GB2312" w:cs="仿宋_GB2312"/>
          <w:sz w:val="32"/>
          <w:szCs w:val="32"/>
        </w:rPr>
        <w:t>挂牌交易公告等相关信息通过中国土地市场网、广东省公共资源交易平台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电子交易系统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交易大厅的电子显示屏等媒介同步发布。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有意竞买者可登录电子交易系统网站(https://tdky.hzggzyjy.cn/)查询。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（二）挂牌文件获取</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申请人可在电子交易系统浏览和下载本宗地网上挂牌出让文件，具体包括：</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国有建设用地使用权网上挂牌出让公告；</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国有建设用地使用权网上挂牌出让竞买须知；</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3、挂牌出让地块现状图；</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4、建设用地红线界限图；</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5、建设用地规划设计条件；</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6、国有建设用地使用权网上挂牌成交确认书（样本）；</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7、国有建设用地使用权出让合同（样本）；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8、其他相关文件。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（三）办理数字证书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1、本宗国有建设用地使用权网上挂牌出让只能在互联网上，通过电子交易系统进行。只有通过网上注册、办理数字证书、按要求足额交付竞买保证金的申请人，才能参加网上挂牌交易活动。 </w:t>
      </w:r>
    </w:p>
    <w:p>
      <w:pPr>
        <w:pStyle w:val="2"/>
        <w:spacing w:line="54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r>
        <w:rPr>
          <w:rFonts w:hint="eastAsia" w:ascii="仿宋_GB2312" w:hAnsi="仿宋_GB2312" w:eastAsia="仿宋_GB2312" w:cs="仿宋_GB2312"/>
          <w:sz w:val="32"/>
          <w:szCs w:val="32"/>
          <w:lang w:eastAsia="zh-CN"/>
        </w:rPr>
        <w:t>。</w:t>
      </w:r>
    </w:p>
    <w:p>
      <w:pPr>
        <w:pStyle w:val="2"/>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w:t>
      </w:r>
      <w:r>
        <w:rPr>
          <w:rFonts w:hint="eastAsia" w:ascii="仿宋_GB2312" w:hAnsi="仿宋_GB2312" w:eastAsia="仿宋_GB2312" w:cs="仿宋_GB2312"/>
          <w:sz w:val="32"/>
          <w:szCs w:val="32"/>
          <w:lang w:eastAsia="zh-CN"/>
        </w:rPr>
        <w:t>电子交易系统</w:t>
      </w:r>
      <w:r>
        <w:rPr>
          <w:rFonts w:hint="eastAsia" w:ascii="仿宋_GB2312" w:hAnsi="仿宋_GB2312" w:eastAsia="仿宋_GB2312" w:cs="仿宋_GB2312"/>
          <w:sz w:val="32"/>
          <w:szCs w:val="32"/>
        </w:rPr>
        <w:t>上的《数字证书办理指南》。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（四）申请竞买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（五）交纳竞买保证金并获得竞买报价权限</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1、竞买保证金是申请人参加网上挂牌交易活动的资格条件。按规定将竞买保证金汇入指定账户，是参加网上挂牌交易活动的必经程序。</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2、竞买人应当提前交纳竞买保证金，以确保竞买保证金在到账截止时间前到账，超过到账截止时间到账的竞买保证金，电子交易系统将不予受理，造成的损失由竞买人自行承担。</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3、跨地区或跨行转账的竞买人，需预足资金的在途时间，以免影响竞买人及时取得竞买报价权限。</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4、竞买保证金到账时间以电子交易系统确认并发出《竞买保证金到账通知书》为准。</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5、竞买保证金开户单位：惠州市公共资源交易中心惠东分中心</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竞买保证金账号：</w:t>
      </w:r>
      <w:r>
        <w:rPr>
          <w:rFonts w:hint="eastAsia" w:ascii="仿宋_GB2312" w:hAnsi="仿宋_GB2312" w:eastAsia="仿宋_GB2312" w:cs="仿宋_GB2312"/>
          <w:sz w:val="32"/>
          <w:szCs w:val="32"/>
          <w:lang w:eastAsia="zh-CN"/>
        </w:rPr>
        <w:t>电子</w:t>
      </w:r>
      <w:r>
        <w:rPr>
          <w:rFonts w:hint="eastAsia" w:ascii="仿宋_GB2312" w:hAnsi="仿宋_GB2312" w:eastAsia="仿宋_GB2312" w:cs="仿宋_GB2312"/>
          <w:sz w:val="32"/>
          <w:szCs w:val="32"/>
        </w:rPr>
        <w:t>交易系统随机产生竞买保证金支付账号。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（1）广东惠东农村商业银行股份有限公司；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（2）广发银行股份有限公司</w:t>
      </w:r>
      <w:r>
        <w:rPr>
          <w:rFonts w:hint="eastAsia" w:ascii="仿宋_GB2312" w:hAnsi="仿宋_GB2312" w:eastAsia="仿宋_GB2312" w:cs="仿宋_GB2312"/>
          <w:sz w:val="32"/>
          <w:szCs w:val="32"/>
          <w:lang w:eastAsia="zh-CN"/>
        </w:rPr>
        <w:t>惠州</w:t>
      </w:r>
      <w:r>
        <w:rPr>
          <w:rFonts w:hint="eastAsia" w:ascii="仿宋_GB2312" w:hAnsi="仿宋_GB2312" w:eastAsia="仿宋_GB2312" w:cs="仿宋_GB2312"/>
          <w:sz w:val="32"/>
          <w:szCs w:val="32"/>
        </w:rPr>
        <w:t>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（3）中国建设银行股份有限公司惠东支行；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（4）中国银行股份有限公司惠州惠东支行；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（5）中国农业银行股份有限公司惠东县支行；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（6）中国工商银行股份有限公司惠东支行；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（7）中国邮政储蓄银行股份有限公司惠东县支行；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6、申请人应根据电子交易系统生成的随机保证金账号按时足额交纳竞买保证金，在电子交易系统确认竞买保证金按时足额到账之后，竞买人将被赋予对应宗地的竞买报价权限。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（六）竞买人电子报价及电子限时竞价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1、竞买人通过电子交易系统进行报价。电子报价和电子限时竞价按以下规则进行：</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（1）增价方式进行报价；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（2）竞买人可多次报价；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（3）初次报价不得低于起始价；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（4）每次增价数额应是规定的增价幅度的整数倍；</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（5）每次报价应当比当前最高报价至少递增1个增价幅度。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2、竞买人应当谨慎报价，报价一经提交并经电子交易系统确认为有效报价，不可撤回。</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电子挂牌交易期限截止前，竞买人应当进行至少一次有效报价，方有资格参加交易宗地的电子限时竞价。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限时竞价是指在挂牌出让公告规定的电子挂牌交易期限截止时，有2个以上的竞买人报价，且经电子交易系统询问，5分钟内限时决定是否愿意继续报价，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（七）确定成交候选人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电子挂牌交易按照下列规则确定成交候选人：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1、在电子挂牌交易期限内只有1个竞买人报价，且报价不低于起始价的，则该报价者为成交候选人；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2、电子挂牌交易期限内有2个以上的竞买人报价，经电子交易系统询问，无竞买人愿意参加电子限时竞价的，以当前报价最高且报价不低于起始价者为成交候选人；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3、电子挂牌交易期限内无报价的，挂牌不成交；</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4、进入电子限时竞价，电子限时竞价中报价最高且报价不低于起始价者为成交候选人；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5、进入电子限时竞价，但电子限时竞价中无竞买人报价的，以电子挂牌交易截止时报价最高且报价不低于起始价者为成交候选人</w:t>
      </w:r>
      <w:r>
        <w:rPr>
          <w:rFonts w:hint="eastAsia" w:ascii="仿宋_GB2312" w:hAnsi="仿宋_GB2312" w:eastAsia="仿宋_GB2312" w:cs="仿宋_GB2312"/>
          <w:sz w:val="32"/>
          <w:szCs w:val="32"/>
          <w:lang w:eastAsia="zh-CN"/>
        </w:rPr>
        <w:t>。</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（八）公布交易结果</w:t>
      </w:r>
    </w:p>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委托人确定竞得人后，由交易中心通过电子交易系统发布交易结果。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）签订成交确认书和交易合同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六、系统操作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电子交易系统竞买人操作视频可在交易中心电子交易系统下载。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七、注意事项</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单独申请竞买的，竞买申请人为非</w:t>
      </w:r>
      <w:r>
        <w:rPr>
          <w:rFonts w:hint="eastAsia" w:ascii="仿宋_GB2312" w:hAnsi="仿宋_GB2312" w:eastAsia="仿宋_GB2312" w:cs="仿宋_GB2312"/>
          <w:color w:val="auto"/>
          <w:sz w:val="32"/>
          <w:szCs w:val="32"/>
          <w:lang w:eastAsia="zh-CN"/>
        </w:rPr>
        <w:t>本县</w:t>
      </w:r>
      <w:r>
        <w:rPr>
          <w:rFonts w:hint="eastAsia" w:ascii="仿宋_GB2312" w:hAnsi="仿宋_GB2312" w:eastAsia="仿宋_GB2312" w:cs="仿宋_GB2312"/>
          <w:color w:val="auto"/>
          <w:sz w:val="32"/>
          <w:szCs w:val="32"/>
        </w:rPr>
        <w:t>注册登记的企业，在竞得土地后，必须</w:t>
      </w:r>
      <w:r>
        <w:rPr>
          <w:rFonts w:hint="eastAsia" w:ascii="仿宋_GB2312" w:hAnsi="仿宋_GB2312" w:eastAsia="仿宋_GB2312" w:cs="仿宋_GB2312"/>
          <w:color w:val="auto"/>
          <w:sz w:val="32"/>
          <w:szCs w:val="32"/>
          <w:lang w:eastAsia="zh-CN"/>
        </w:rPr>
        <w:t>在《惠州市惠东县国有建设用地使用权网上挂牌出让成交确认书》（以下简称“《成交确认书》”）签订后</w:t>
      </w:r>
      <w:r>
        <w:rPr>
          <w:rFonts w:hint="eastAsia" w:ascii="仿宋_GB2312" w:hAnsi="仿宋_GB2312" w:eastAsia="仿宋_GB2312" w:cs="仿宋_GB2312"/>
          <w:color w:val="auto"/>
          <w:sz w:val="32"/>
          <w:szCs w:val="32"/>
          <w:lang w:val="en-US" w:eastAsia="zh-CN"/>
        </w:rPr>
        <w:t>30日</w:t>
      </w:r>
      <w:r>
        <w:rPr>
          <w:rFonts w:hint="eastAsia" w:ascii="仿宋_GB2312" w:hAnsi="仿宋_GB2312" w:eastAsia="仿宋_GB2312" w:cs="仿宋_GB2312"/>
          <w:color w:val="auto"/>
          <w:sz w:val="32"/>
          <w:szCs w:val="32"/>
        </w:rPr>
        <w:t>内在</w:t>
      </w:r>
      <w:r>
        <w:rPr>
          <w:rFonts w:hint="eastAsia" w:ascii="仿宋_GB2312" w:hAnsi="仿宋_GB2312" w:eastAsia="仿宋_GB2312" w:cs="仿宋_GB2312"/>
          <w:color w:val="auto"/>
          <w:sz w:val="32"/>
          <w:szCs w:val="32"/>
          <w:lang w:eastAsia="zh-CN"/>
        </w:rPr>
        <w:t>惠东县市场监督管理局</w:t>
      </w:r>
      <w:r>
        <w:rPr>
          <w:rFonts w:hint="eastAsia" w:ascii="仿宋_GB2312" w:hAnsi="仿宋_GB2312" w:eastAsia="仿宋_GB2312" w:cs="仿宋_GB2312"/>
          <w:color w:val="auto"/>
          <w:sz w:val="32"/>
          <w:szCs w:val="32"/>
        </w:rPr>
        <w:t>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r>
        <w:rPr>
          <w:rFonts w:hint="eastAsia" w:ascii="仿宋_GB2312" w:hAnsi="仿宋_GB2312" w:eastAsia="仿宋_GB2312" w:cs="仿宋_GB2312"/>
          <w:sz w:val="32"/>
          <w:szCs w:val="32"/>
        </w:rPr>
        <w:t>。</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联合申请竞买的，联合竞买人在提交竞买申请材料时，须提交联合竞买申请书和协议，协议主要约定联合各方的权利和义务、参与竞买的代表人、联合各方的出资比例等。联合竞买申请竞得</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必须</w:t>
      </w:r>
      <w:r>
        <w:rPr>
          <w:rFonts w:hint="eastAsia" w:ascii="仿宋_GB2312" w:hAnsi="仿宋_GB2312" w:eastAsia="仿宋_GB2312" w:cs="仿宋_GB2312"/>
          <w:sz w:val="32"/>
          <w:szCs w:val="32"/>
          <w:lang w:eastAsia="zh-CN"/>
        </w:rPr>
        <w:t>在《成交确认书》签订后</w:t>
      </w:r>
      <w:r>
        <w:rPr>
          <w:rFonts w:hint="eastAsia" w:ascii="仿宋_GB2312" w:hAnsi="仿宋_GB2312" w:eastAsia="仿宋_GB2312" w:cs="仿宋_GB2312"/>
          <w:sz w:val="32"/>
          <w:szCs w:val="32"/>
          <w:lang w:val="en-US" w:eastAsia="zh-CN"/>
        </w:rPr>
        <w:t>30日</w:t>
      </w:r>
      <w:r>
        <w:rPr>
          <w:rFonts w:hint="eastAsia" w:ascii="仿宋_GB2312" w:hAnsi="仿宋_GB2312" w:eastAsia="仿宋_GB2312" w:cs="仿宋_GB2312"/>
          <w:sz w:val="32"/>
          <w:szCs w:val="32"/>
        </w:rPr>
        <w:t>内在</w:t>
      </w:r>
      <w:r>
        <w:rPr>
          <w:rFonts w:hint="eastAsia" w:ascii="仿宋_GB2312" w:hAnsi="仿宋_GB2312" w:eastAsia="仿宋_GB2312" w:cs="仿宋_GB2312"/>
          <w:sz w:val="32"/>
          <w:szCs w:val="32"/>
          <w:lang w:eastAsia="zh-CN"/>
        </w:rPr>
        <w:t>惠东县市场监督管理局</w:t>
      </w:r>
      <w:r>
        <w:rPr>
          <w:rFonts w:hint="eastAsia" w:ascii="仿宋_GB2312" w:hAnsi="仿宋_GB2312" w:eastAsia="仿宋_GB2312" w:cs="仿宋_GB2312"/>
          <w:sz w:val="32"/>
          <w:szCs w:val="32"/>
        </w:rPr>
        <w:t>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（四）《竞价结果通知书》对委托人和成交候选人具有法律效力，委托人改变网上挂牌结果的，或者成交候选人放弃竞得宗地的，应当承担相应法律责任。</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竞得人应按挂牌出让公告规定的时间与交易中心、委托人签订成交确认书，根据成交确认书约定的时间与委托人签订出让合同，并按合同约定支付成交价款。</w:t>
      </w:r>
    </w:p>
    <w:p>
      <w:pPr>
        <w:numPr>
          <w:ilvl w:val="0"/>
          <w:numId w:val="1"/>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交易中心受托提供代收代退竞买保证金服务，未竞得人缴纳的竞买保证金（以人民币缴纳的竞买保证金）将于电子挂牌交易活动结束之日起5个工作日内通过网上退还的形式原路退还保证金，不计利息。</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竞得人交纳的竞买保证金转付成交价款，办理转付成交价款手续应带齐如下相关资料：</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关于将竞买保证金转为出让价款的申请</w:t>
      </w:r>
      <w:r>
        <w:rPr>
          <w:rFonts w:hint="eastAsia" w:ascii="仿宋_GB2312" w:hAnsi="仿宋_GB2312" w:eastAsia="仿宋_GB2312" w:cs="仿宋_GB2312"/>
          <w:sz w:val="32"/>
          <w:szCs w:val="32"/>
        </w:rPr>
        <w:t>；</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2、惠州市非税收入缴款通知；</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3、银行端查询缴税凭证；</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4、竞买保证金到账通知书；</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5、竞价结果通知书；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6、保证金转账凭证。</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1、电子交易系统受到黑客、病毒恶意攻击的；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2、公共资源交易平台因停电、电子交易系统故障、网络故障、交易软件或数据库错误等因素影响到交易活动不能正常进行的；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3、电子交易系统发现有安全漏洞，有潜在泄密危险，无法保证电子交易信息安全和公平公正交易的；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4、政府有关行政主管部门及司法机关依法要求暂停、中止或终止交易的；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5、委托人书面通知交易中心要求暂停、中止或终止交易的；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6、依法应当暂停、中止或终止交易的其他情形。</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（八）网上挂牌成交价即为该宗地的出让总地价款，竞得人除支付成交价款外，还需支付契税、印花税等有关费用。</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（九）竞得人与委托人签订出让合同后，应当按出让合同约定支付网上挂牌成交价款。竞得人付清全部成交价款后，依法申请办理土地登记，领取《不动产权证书》。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（十）网上挂牌不成交的，由委托人重新组织挂牌出让。</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（十一）挂牌出让公告、竞买须知及相关交易文件需要修改、补充时，将通过原挂牌出让公告发布渠道公告，不作另行通知。</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（十二）本须知及挂牌出让公告涉及的时间期限，以电子交易系统服务器的时间为准。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（十三）本《竞买须知》的最终解释权归交易中心所有。未尽事宜依照《招标拍卖挂牌出让国有土地使用权规范》办理。</w:t>
      </w:r>
    </w:p>
    <w:p>
      <w:pPr>
        <w:ind w:firstLine="640" w:firstLineChars="200"/>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ind w:firstLine="2880" w:firstLineChars="9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惠州市公共资源交易中心惠东分中心</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w:t>
      </w:r>
      <w:r>
        <w:rPr>
          <w:rFonts w:hint="eastAsia" w:ascii="仿宋_GB2312" w:hAnsi="仿宋_GB2312" w:eastAsia="仿宋_GB2312" w:cs="仿宋_GB2312"/>
          <w:color w:val="000000" w:themeColor="text1"/>
          <w:sz w:val="32"/>
          <w:szCs w:val="32"/>
          <w14:textFill>
            <w14:solidFill>
              <w14:schemeClr w14:val="tx1"/>
            </w14:solidFill>
          </w14:textFill>
        </w:rPr>
        <w:t>日</w:t>
      </w:r>
      <w:bookmarkEnd w:id="1"/>
      <w:bookmarkEnd w:id="2"/>
    </w:p>
    <w:bookmarkEnd w:id="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1C9575"/>
    <w:multiLevelType w:val="singleLevel"/>
    <w:tmpl w:val="A31C957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2C01014"/>
    <w:rsid w:val="0368414F"/>
    <w:rsid w:val="03E4664D"/>
    <w:rsid w:val="04347932"/>
    <w:rsid w:val="04C37CA2"/>
    <w:rsid w:val="05036E4E"/>
    <w:rsid w:val="05555850"/>
    <w:rsid w:val="06587A83"/>
    <w:rsid w:val="069C7F64"/>
    <w:rsid w:val="07EB639F"/>
    <w:rsid w:val="08FE7D79"/>
    <w:rsid w:val="097570D0"/>
    <w:rsid w:val="098D6F71"/>
    <w:rsid w:val="0A2D27D6"/>
    <w:rsid w:val="0A8567FF"/>
    <w:rsid w:val="0B353F6E"/>
    <w:rsid w:val="0BC8275B"/>
    <w:rsid w:val="0C413FEF"/>
    <w:rsid w:val="0D96631E"/>
    <w:rsid w:val="0F15236E"/>
    <w:rsid w:val="0F586A0D"/>
    <w:rsid w:val="0F8728CB"/>
    <w:rsid w:val="0F9D2CCF"/>
    <w:rsid w:val="1138689E"/>
    <w:rsid w:val="11750EDC"/>
    <w:rsid w:val="12413F80"/>
    <w:rsid w:val="12964DAF"/>
    <w:rsid w:val="14481734"/>
    <w:rsid w:val="14A678D0"/>
    <w:rsid w:val="14B25D4D"/>
    <w:rsid w:val="15957ACE"/>
    <w:rsid w:val="15B6774B"/>
    <w:rsid w:val="15C9078C"/>
    <w:rsid w:val="15F52E01"/>
    <w:rsid w:val="174C6453"/>
    <w:rsid w:val="17895AAB"/>
    <w:rsid w:val="193B2C44"/>
    <w:rsid w:val="198C1105"/>
    <w:rsid w:val="199F6C8D"/>
    <w:rsid w:val="1A8B48D7"/>
    <w:rsid w:val="1CAC3553"/>
    <w:rsid w:val="1DAD3E49"/>
    <w:rsid w:val="1F8A17DA"/>
    <w:rsid w:val="1FFD75D8"/>
    <w:rsid w:val="206C4B95"/>
    <w:rsid w:val="207267B6"/>
    <w:rsid w:val="21FF6D70"/>
    <w:rsid w:val="224C5F2F"/>
    <w:rsid w:val="225D46F6"/>
    <w:rsid w:val="22693E67"/>
    <w:rsid w:val="234B10F5"/>
    <w:rsid w:val="24134E9E"/>
    <w:rsid w:val="242E7F33"/>
    <w:rsid w:val="2430365E"/>
    <w:rsid w:val="24541005"/>
    <w:rsid w:val="24EC4FEB"/>
    <w:rsid w:val="2522755B"/>
    <w:rsid w:val="253915A5"/>
    <w:rsid w:val="28880243"/>
    <w:rsid w:val="28890BEC"/>
    <w:rsid w:val="28F50888"/>
    <w:rsid w:val="2987215F"/>
    <w:rsid w:val="2A467F84"/>
    <w:rsid w:val="2A4E247F"/>
    <w:rsid w:val="2B6535CC"/>
    <w:rsid w:val="2B726945"/>
    <w:rsid w:val="2C652B1C"/>
    <w:rsid w:val="2E787FBF"/>
    <w:rsid w:val="2EB52590"/>
    <w:rsid w:val="2EEB0850"/>
    <w:rsid w:val="2FCC3A6A"/>
    <w:rsid w:val="31993A95"/>
    <w:rsid w:val="31CE04BB"/>
    <w:rsid w:val="32184567"/>
    <w:rsid w:val="32853FE5"/>
    <w:rsid w:val="33884F53"/>
    <w:rsid w:val="35B12976"/>
    <w:rsid w:val="35E1664C"/>
    <w:rsid w:val="3621785C"/>
    <w:rsid w:val="37016E59"/>
    <w:rsid w:val="37251A19"/>
    <w:rsid w:val="39192335"/>
    <w:rsid w:val="39B55791"/>
    <w:rsid w:val="39EF1CF4"/>
    <w:rsid w:val="3A9B3D32"/>
    <w:rsid w:val="3C9B7F2F"/>
    <w:rsid w:val="3D0B4302"/>
    <w:rsid w:val="3E1750D8"/>
    <w:rsid w:val="3EAF07A1"/>
    <w:rsid w:val="3F4C2CB2"/>
    <w:rsid w:val="3F8D5837"/>
    <w:rsid w:val="3FF3419C"/>
    <w:rsid w:val="41745DC2"/>
    <w:rsid w:val="41EB708C"/>
    <w:rsid w:val="428C3999"/>
    <w:rsid w:val="42AE534E"/>
    <w:rsid w:val="42E17B48"/>
    <w:rsid w:val="43E12AFB"/>
    <w:rsid w:val="4450764F"/>
    <w:rsid w:val="464666A1"/>
    <w:rsid w:val="468E471D"/>
    <w:rsid w:val="46B574D6"/>
    <w:rsid w:val="47CD3E73"/>
    <w:rsid w:val="48F10D6C"/>
    <w:rsid w:val="49CB5D2E"/>
    <w:rsid w:val="4A497E70"/>
    <w:rsid w:val="4A6347B3"/>
    <w:rsid w:val="4B8D2F38"/>
    <w:rsid w:val="4BB137D9"/>
    <w:rsid w:val="4CE03A9C"/>
    <w:rsid w:val="4D2E4C77"/>
    <w:rsid w:val="4F590142"/>
    <w:rsid w:val="4F624AF9"/>
    <w:rsid w:val="50D04F55"/>
    <w:rsid w:val="513A5026"/>
    <w:rsid w:val="54605AC5"/>
    <w:rsid w:val="556A52A1"/>
    <w:rsid w:val="560B6EB6"/>
    <w:rsid w:val="56E70DCE"/>
    <w:rsid w:val="574C278E"/>
    <w:rsid w:val="584612E0"/>
    <w:rsid w:val="589D665D"/>
    <w:rsid w:val="596E6608"/>
    <w:rsid w:val="59964266"/>
    <w:rsid w:val="5B8027AB"/>
    <w:rsid w:val="5D1879C1"/>
    <w:rsid w:val="5D3F3390"/>
    <w:rsid w:val="5D497381"/>
    <w:rsid w:val="5E373C13"/>
    <w:rsid w:val="5E522449"/>
    <w:rsid w:val="5F130109"/>
    <w:rsid w:val="5F3D1F26"/>
    <w:rsid w:val="5FC44390"/>
    <w:rsid w:val="60381C42"/>
    <w:rsid w:val="61463027"/>
    <w:rsid w:val="61BA1DD2"/>
    <w:rsid w:val="61EC6AC5"/>
    <w:rsid w:val="636D04A3"/>
    <w:rsid w:val="64DC3114"/>
    <w:rsid w:val="6505740A"/>
    <w:rsid w:val="651D4E5B"/>
    <w:rsid w:val="65243DEF"/>
    <w:rsid w:val="655D260C"/>
    <w:rsid w:val="65733ED9"/>
    <w:rsid w:val="6617798C"/>
    <w:rsid w:val="66640828"/>
    <w:rsid w:val="6665566A"/>
    <w:rsid w:val="67387B2D"/>
    <w:rsid w:val="68CA4641"/>
    <w:rsid w:val="68EE7C3A"/>
    <w:rsid w:val="69103409"/>
    <w:rsid w:val="691B3097"/>
    <w:rsid w:val="69F7647F"/>
    <w:rsid w:val="6AC34BC3"/>
    <w:rsid w:val="6BE05A8B"/>
    <w:rsid w:val="6C026FB6"/>
    <w:rsid w:val="6CA57501"/>
    <w:rsid w:val="6DE00A2C"/>
    <w:rsid w:val="6E1045E8"/>
    <w:rsid w:val="6E411439"/>
    <w:rsid w:val="70BF39A6"/>
    <w:rsid w:val="714128A2"/>
    <w:rsid w:val="71C379DC"/>
    <w:rsid w:val="737B7F1F"/>
    <w:rsid w:val="73A800F4"/>
    <w:rsid w:val="7455322A"/>
    <w:rsid w:val="745676AC"/>
    <w:rsid w:val="75692EE5"/>
    <w:rsid w:val="761A4520"/>
    <w:rsid w:val="76583AAF"/>
    <w:rsid w:val="766A2811"/>
    <w:rsid w:val="7723477C"/>
    <w:rsid w:val="777438A8"/>
    <w:rsid w:val="786543D7"/>
    <w:rsid w:val="78861E4A"/>
    <w:rsid w:val="78AC2EB7"/>
    <w:rsid w:val="79CB18BC"/>
    <w:rsid w:val="7A507CB1"/>
    <w:rsid w:val="7ADC36C2"/>
    <w:rsid w:val="7B293CFA"/>
    <w:rsid w:val="7B4D76AC"/>
    <w:rsid w:val="7B813478"/>
    <w:rsid w:val="7CCA02FD"/>
    <w:rsid w:val="7CDB7789"/>
    <w:rsid w:val="7F1107D4"/>
    <w:rsid w:val="7F287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4">
    <w:name w:val="Block Text"/>
    <w:basedOn w:val="1"/>
    <w:next w:val="1"/>
    <w:unhideWhenUsed/>
    <w:qFormat/>
    <w:uiPriority w:val="99"/>
    <w:pPr>
      <w:spacing w:after="120"/>
      <w:ind w:left="1440" w:leftChars="700" w:right="700" w:rightChars="700"/>
    </w:pPr>
  </w:style>
  <w:style w:type="paragraph" w:styleId="5">
    <w:name w:val="Plain Text"/>
    <w:basedOn w:val="1"/>
    <w:unhideWhenUsed/>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36</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cp:lastPrinted>2025-12-16T02:27:00Z</cp:lastPrinted>
  <dcterms:modified xsi:type="dcterms:W3CDTF">2026-04-23T07:38:04Z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AB5835DEA89A4D42901BBD2897B319EC</vt:lpwstr>
  </property>
</Properties>
</file>