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lang w:eastAsia="zh-CN"/>
        </w:rPr>
        <w:t>惠州市惠东县</w:t>
      </w:r>
      <w:r>
        <w:rPr>
          <w:rFonts w:hint="eastAsia" w:ascii="华文中宋" w:hAnsi="华文中宋" w:eastAsia="华文中宋" w:cs="华文中宋"/>
          <w:color w:val="auto"/>
          <w:sz w:val="44"/>
          <w:szCs w:val="44"/>
        </w:rPr>
        <w:t>国有建设用地使用权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lang w:eastAsia="zh-CN"/>
        </w:rPr>
      </w:pPr>
      <w:r>
        <w:rPr>
          <w:rFonts w:hint="eastAsia" w:ascii="华文中宋" w:hAnsi="华文中宋" w:eastAsia="华文中宋" w:cs="华文中宋"/>
          <w:color w:val="auto"/>
          <w:sz w:val="44"/>
          <w:szCs w:val="44"/>
          <w:lang w:eastAsia="zh-CN"/>
        </w:rPr>
        <w:t>网上挂牌出让竞买须知</w:t>
      </w:r>
    </w:p>
    <w:p>
      <w:pPr>
        <w:ind w:firstLine="1606" w:firstLineChars="500"/>
        <w:rPr>
          <w:rFonts w:hint="eastAsia" w:ascii="仿宋" w:hAnsi="仿宋" w:eastAsia="仿宋" w:cs="仿宋"/>
          <w:color w:val="auto"/>
          <w:sz w:val="32"/>
          <w:szCs w:val="32"/>
        </w:rPr>
      </w:pPr>
      <w:r>
        <w:rPr>
          <w:rFonts w:hint="eastAsia" w:ascii="仿宋" w:hAnsi="仿宋" w:eastAsia="仿宋" w:cs="仿宋_GB2312"/>
          <w:b/>
          <w:bCs/>
          <w:color w:val="auto"/>
          <w:sz w:val="32"/>
          <w:szCs w:val="32"/>
        </w:rPr>
        <w:t>惠</w:t>
      </w:r>
      <w:r>
        <w:rPr>
          <w:rFonts w:hint="eastAsia" w:ascii="仿宋" w:hAnsi="仿宋" w:eastAsia="仿宋" w:cs="仿宋_GB2312"/>
          <w:b/>
          <w:bCs/>
          <w:color w:val="auto"/>
          <w:sz w:val="32"/>
          <w:szCs w:val="32"/>
          <w:lang w:eastAsia="zh-CN"/>
        </w:rPr>
        <w:t>东资源</w:t>
      </w:r>
      <w:r>
        <w:rPr>
          <w:rFonts w:hint="eastAsia" w:ascii="仿宋" w:hAnsi="仿宋" w:eastAsia="仿宋" w:cs="仿宋_GB2312"/>
          <w:b/>
          <w:bCs/>
          <w:color w:val="auto"/>
          <w:sz w:val="32"/>
          <w:szCs w:val="32"/>
        </w:rPr>
        <w:t>土</w:t>
      </w:r>
      <w:r>
        <w:rPr>
          <w:rFonts w:hint="eastAsia" w:ascii="仿宋" w:hAnsi="仿宋" w:eastAsia="仿宋" w:cs="仿宋_GB2312"/>
          <w:b/>
          <w:bCs/>
          <w:color w:val="auto"/>
          <w:sz w:val="32"/>
          <w:szCs w:val="32"/>
          <w:lang w:eastAsia="zh-CN"/>
        </w:rPr>
        <w:t>挂（知）字</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lang w:val="en-US" w:eastAsia="zh-CN"/>
        </w:rPr>
        <w:t>2024</w:t>
      </w:r>
      <w:r>
        <w:rPr>
          <w:rFonts w:hint="eastAsia" w:ascii="宋体" w:hAnsi="宋体" w:eastAsia="宋体" w:cs="宋体"/>
          <w:b/>
          <w:bCs/>
          <w:color w:val="auto"/>
          <w:sz w:val="32"/>
          <w:szCs w:val="32"/>
        </w:rPr>
        <w:t>〕</w:t>
      </w:r>
      <w:r>
        <w:rPr>
          <w:rFonts w:hint="eastAsia" w:ascii="仿宋" w:hAnsi="仿宋" w:eastAsia="仿宋" w:cs="仿宋_GB2312"/>
          <w:b/>
          <w:bCs/>
          <w:color w:val="auto"/>
          <w:sz w:val="32"/>
          <w:szCs w:val="32"/>
          <w:u w:val="none"/>
          <w:lang w:val="en-US" w:eastAsia="zh-CN"/>
        </w:rPr>
        <w:t>001</w:t>
      </w:r>
      <w:r>
        <w:rPr>
          <w:rFonts w:hint="eastAsia" w:ascii="仿宋" w:hAnsi="仿宋" w:eastAsia="仿宋" w:cs="仿宋_GB2312"/>
          <w:b/>
          <w:bCs/>
          <w:color w:val="auto"/>
          <w:sz w:val="32"/>
          <w:szCs w:val="32"/>
          <w:u w:val="none"/>
        </w:rPr>
        <w:t>号</w:t>
      </w:r>
    </w:p>
    <w:p>
      <w:pPr>
        <w:numPr>
          <w:ilvl w:val="0"/>
          <w:numId w:val="0"/>
        </w:numPr>
        <w:ind w:firstLine="640" w:firstLineChars="200"/>
        <w:rPr>
          <w:rFonts w:hint="eastAsia" w:ascii="仿宋" w:hAnsi="仿宋" w:eastAsia="仿宋" w:cs="仿宋"/>
          <w:color w:val="auto"/>
          <w:sz w:val="32"/>
          <w:szCs w:val="32"/>
          <w:lang w:eastAsia="zh-CN"/>
        </w:rPr>
      </w:pP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国有建设用地使用权网上挂牌出让，是指在惠州市公共资源交易平台发布挂牌出让公告和须知，竞买人通过惠州市公共资源交易中心土地与矿业网上挂牌</w:t>
      </w:r>
      <w:bookmarkStart w:id="0" w:name="_GoBack"/>
      <w:bookmarkEnd w:id="0"/>
      <w:r>
        <w:rPr>
          <w:rFonts w:hint="eastAsia" w:ascii="仿宋" w:hAnsi="仿宋" w:eastAsia="仿宋" w:cs="仿宋"/>
          <w:color w:val="auto"/>
          <w:sz w:val="32"/>
          <w:szCs w:val="32"/>
        </w:rPr>
        <w:t>交易系统（以下简称“网上挂牌交易系统”）参与电子挂牌交易的行为。本竞买须知是具备法律约束力的重要文件，竞买人须详细阅读。</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三、中华人民共和国境内外的法人、自然人和其他组织均可申请竞买，可以单独申请，也可以联合申请。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挂牌出让公告对竞买资格有特别要求的，以挂牌出让公告为准。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有关宗地的电子挂牌交易公告等相关信息通过</w:t>
      </w:r>
      <w:r>
        <w:rPr>
          <w:rFonts w:hint="eastAsia" w:ascii="仿宋" w:hAnsi="仿宋" w:eastAsia="仿宋" w:cs="仿宋"/>
          <w:color w:val="auto"/>
          <w:sz w:val="32"/>
          <w:szCs w:val="32"/>
          <w:lang w:eastAsia="zh-CN"/>
        </w:rPr>
        <w:t>惠州市公共资源</w:t>
      </w:r>
      <w:r>
        <w:rPr>
          <w:rFonts w:hint="eastAsia" w:ascii="仿宋" w:hAnsi="仿宋" w:eastAsia="仿宋" w:cs="仿宋"/>
          <w:color w:val="auto"/>
          <w:sz w:val="32"/>
          <w:szCs w:val="32"/>
        </w:rPr>
        <w:t>交易中心门户网站、交易大厅的电子显示屏、中国土地市场网和网上挂牌交易系统等媒介同步发布。</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有意竞买者可登录网上挂牌交易系统网站(https://www.hzgtjy.com/)查询。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申请人可在网上挂牌交易系统浏览和下载本宗地网上挂牌出让文件，具体包括：</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国有建设用地使用权网上挂牌出让公告（以下简称“出让公告”）；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2、惠州市</w:t>
      </w:r>
      <w:r>
        <w:rPr>
          <w:rFonts w:hint="eastAsia" w:ascii="仿宋" w:hAnsi="仿宋" w:eastAsia="仿宋" w:cs="仿宋"/>
          <w:color w:val="auto"/>
          <w:sz w:val="32"/>
          <w:szCs w:val="32"/>
          <w:lang w:eastAsia="zh-CN"/>
        </w:rPr>
        <w:t>惠东县</w:t>
      </w:r>
      <w:r>
        <w:rPr>
          <w:rFonts w:hint="eastAsia" w:ascii="仿宋" w:hAnsi="仿宋" w:eastAsia="仿宋" w:cs="仿宋"/>
          <w:color w:val="auto"/>
          <w:sz w:val="32"/>
          <w:szCs w:val="32"/>
        </w:rPr>
        <w:t>国有建设用地使用权网上挂牌出让竞买须知（以下简称“竞买须知”）；</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红线图</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5、《规划设计条件告知书》；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6、《国有建设用地使用权出让合同》（以下简称“出让合同”）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、其他相关文件。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2"/>
        <w:keepNext w:val="0"/>
        <w:keepLines w:val="0"/>
        <w:pageBreakBefore w:val="0"/>
        <w:kinsoku/>
        <w:overflowPunct/>
        <w:topLinePunct w:val="0"/>
        <w:autoSpaceDE/>
        <w:bidi w:val="0"/>
        <w:spacing w:line="54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color w:val="auto"/>
          <w:sz w:val="32"/>
          <w:szCs w:val="32"/>
        </w:rPr>
        <w:t>数字证书办理地址：广东省惠州市惠城区三新北路31号市民服务中心3号楼惠州市公共资源交易中心一楼大厅1号土地与矿业交易窗口</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联系人：罗工</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联系电话：0752-7121029</w:t>
      </w:r>
      <w:r>
        <w:rPr>
          <w:rFonts w:hint="eastAsia" w:ascii="仿宋" w:hAnsi="仿宋" w:eastAsia="仿宋" w:cs="仿宋"/>
          <w:color w:val="auto"/>
          <w:sz w:val="32"/>
          <w:szCs w:val="32"/>
        </w:rPr>
        <w:t>）申请办理。数字证书的办理流程详见网上挂牌交易系统上的《数字证书办理指南》。</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委托人明确可以采用保函、保险等方式提交保证金的，应当满足电子数据文本的实现形式。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w:t>
      </w:r>
      <w:r>
        <w:rPr>
          <w:rFonts w:hint="eastAsia" w:ascii="仿宋" w:hAnsi="仿宋" w:eastAsia="仿宋" w:cs="仿宋"/>
          <w:color w:val="auto"/>
          <w:sz w:val="32"/>
          <w:szCs w:val="32"/>
          <w:lang w:eastAsia="zh-CN"/>
        </w:rPr>
        <w:t>报价权限</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4、竞买保证金到账时间以网上挂牌交易系统确认并发出《保证金到账通知书》为准。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r>
        <w:rPr>
          <w:rFonts w:hint="eastAsia" w:ascii="仿宋" w:hAnsi="仿宋" w:eastAsia="仿宋" w:cs="仿宋"/>
          <w:color w:val="auto"/>
          <w:sz w:val="32"/>
          <w:szCs w:val="32"/>
          <w:lang w:eastAsia="zh-CN"/>
        </w:rPr>
        <w:t>惠东分中心，</w:t>
      </w:r>
      <w:r>
        <w:rPr>
          <w:rFonts w:hint="eastAsia" w:ascii="仿宋" w:hAnsi="仿宋" w:eastAsia="仿宋" w:cs="仿宋"/>
          <w:color w:val="auto"/>
          <w:sz w:val="32"/>
          <w:szCs w:val="32"/>
        </w:rPr>
        <w:t>竞买保证金账号：网上挂牌交易系统随机产生竞买保证金支付账号。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napToGrid/>
          <w:vanish w:val="0"/>
          <w:color w:val="auto"/>
          <w:kern w:val="2"/>
          <w:sz w:val="32"/>
          <w:szCs w:val="32"/>
        </w:rPr>
        <w:t>广东惠东农村商业银行股份有限公司</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napToGrid/>
          <w:vanish w:val="0"/>
          <w:color w:val="auto"/>
          <w:kern w:val="2"/>
          <w:sz w:val="32"/>
          <w:szCs w:val="32"/>
        </w:rPr>
        <w:t>广发银行惠东银基支行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napToGrid/>
          <w:vanish w:val="0"/>
          <w:color w:val="auto"/>
          <w:kern w:val="2"/>
          <w:sz w:val="32"/>
          <w:szCs w:val="32"/>
        </w:rPr>
        <w:t>中国建设银行股份有限公司惠东支行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napToGrid/>
          <w:vanish w:val="0"/>
          <w:color w:val="auto"/>
          <w:kern w:val="2"/>
          <w:sz w:val="32"/>
          <w:szCs w:val="32"/>
        </w:rPr>
        <w:t>中国银行股份有限公司惠州惠东支行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napToGrid/>
          <w:vanish w:val="0"/>
          <w:color w:val="auto"/>
          <w:kern w:val="2"/>
          <w:sz w:val="32"/>
          <w:szCs w:val="32"/>
        </w:rPr>
        <w:t>中国农业银行股份有限公司惠东县支行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napToGrid/>
          <w:vanish w:val="0"/>
          <w:color w:val="auto"/>
          <w:kern w:val="2"/>
          <w:sz w:val="32"/>
          <w:szCs w:val="32"/>
        </w:rPr>
        <w:t>中国工商银行股份有限公司惠东支行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napToGrid/>
          <w:vanish w:val="0"/>
          <w:color w:val="auto"/>
          <w:kern w:val="2"/>
          <w:sz w:val="32"/>
          <w:szCs w:val="32"/>
        </w:rPr>
        <w:t>中国邮政储蓄银行股份有限公司惠东县支行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6、申请人应根据网上挂牌交易系统生成的随机保证金账号按时足额交纳竞买保证金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并在网上挂牌交易系统确认竞买保证金到账之后，赋予竞买人对应宗地的竞买报价权限。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1、竞买人通过网上挂牌交易系统进行报价。电子报价和电子限时竞价按以下规则进行：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2、竞买人应当谨慎报价，报价一经提交并经网上挂牌交易系统确认为有效报价，不可撤回。</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1、在电子挂牌交易期限内只有1个竞买人报价，且报价不低于底价的，则该报价者为成交候选人；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3、电子挂牌交易期限内无报价或报价低于底价的，挂牌不成交；</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5、电子限时竞价中无竞买人报价的，以电子挂牌交易截止时报价最高且报价不低于底价者为成交候选人。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rPr>
        <w:t>成交候选人应在网上挂牌交易系统确定成交候选人之日起</w:t>
      </w:r>
      <w:r>
        <w:rPr>
          <w:rFonts w:hint="eastAsia" w:ascii="仿宋" w:hAnsi="仿宋" w:eastAsia="仿宋" w:cs="华文仿宋"/>
          <w:b w:val="0"/>
          <w:bCs w:val="0"/>
          <w:color w:val="auto"/>
          <w:sz w:val="32"/>
          <w:szCs w:val="32"/>
          <w:lang w:val="en-US" w:eastAsia="zh-CN"/>
        </w:rPr>
        <w:t>5</w:t>
      </w:r>
      <w:r>
        <w:rPr>
          <w:rFonts w:hint="eastAsia" w:ascii="仿宋" w:hAnsi="仿宋" w:eastAsia="仿宋" w:cs="华文仿宋"/>
          <w:b w:val="0"/>
          <w:bCs w:val="0"/>
          <w:color w:val="auto"/>
          <w:sz w:val="32"/>
          <w:szCs w:val="32"/>
        </w:rPr>
        <w:t>个工作日内将竞买申请书等材料上传至土地与矿业网上挂牌交易系统，由</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lang w:val="en-US" w:eastAsia="zh-CN"/>
        </w:rPr>
        <w:t>在线上</w:t>
      </w:r>
      <w:r>
        <w:rPr>
          <w:rFonts w:hint="eastAsia" w:ascii="仿宋" w:hAnsi="仿宋" w:eastAsia="仿宋" w:cs="华文仿宋"/>
          <w:b w:val="0"/>
          <w:bCs w:val="0"/>
          <w:color w:val="auto"/>
          <w:sz w:val="32"/>
          <w:szCs w:val="32"/>
        </w:rPr>
        <w:t>进行竞买资格审查。</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rPr>
        <w:t>将于</w:t>
      </w:r>
      <w:r>
        <w:rPr>
          <w:rFonts w:hint="eastAsia" w:ascii="仿宋" w:hAnsi="仿宋" w:eastAsia="仿宋" w:cs="华文仿宋"/>
          <w:b w:val="0"/>
          <w:bCs w:val="0"/>
          <w:color w:val="auto"/>
          <w:sz w:val="32"/>
          <w:szCs w:val="32"/>
          <w:lang w:val="en-US" w:eastAsia="zh-CN"/>
        </w:rPr>
        <w:t>2个工作日内</w:t>
      </w:r>
      <w:r>
        <w:rPr>
          <w:rFonts w:hint="eastAsia" w:ascii="仿宋" w:hAnsi="仿宋" w:eastAsia="仿宋" w:cs="华文仿宋"/>
          <w:b w:val="0"/>
          <w:bCs w:val="0"/>
          <w:color w:val="auto"/>
          <w:sz w:val="32"/>
          <w:szCs w:val="32"/>
        </w:rPr>
        <w:t>确定符合竞买资格的成交候选人为竞得人（成交候选人上传材料的具体操作详见网上挂牌交易系统资料下载栏目中的《惠州市公共资源交易中心土地与矿业交易系统新增建设功能操作指南》）。</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lang w:eastAsia="zh-CN"/>
        </w:rPr>
      </w:pPr>
      <w:r>
        <w:rPr>
          <w:rFonts w:hint="eastAsia" w:ascii="仿宋" w:hAnsi="仿宋" w:eastAsia="仿宋" w:cs="华文仿宋"/>
          <w:b w:val="0"/>
          <w:bCs w:val="0"/>
          <w:color w:val="auto"/>
          <w:sz w:val="32"/>
          <w:szCs w:val="32"/>
        </w:rPr>
        <w:t>成交候选人线上</w:t>
      </w:r>
      <w:r>
        <w:rPr>
          <w:rFonts w:hint="eastAsia" w:ascii="仿宋" w:hAnsi="仿宋" w:eastAsia="仿宋" w:cs="华文仿宋"/>
          <w:b w:val="0"/>
          <w:bCs w:val="0"/>
          <w:color w:val="auto"/>
          <w:sz w:val="32"/>
          <w:szCs w:val="32"/>
          <w:lang w:val="en-US" w:eastAsia="zh-CN"/>
        </w:rPr>
        <w:t>提交</w:t>
      </w:r>
      <w:r>
        <w:rPr>
          <w:rFonts w:hint="eastAsia" w:ascii="仿宋" w:hAnsi="仿宋" w:eastAsia="仿宋" w:cs="华文仿宋"/>
          <w:b w:val="0"/>
          <w:bCs w:val="0"/>
          <w:color w:val="auto"/>
          <w:sz w:val="32"/>
          <w:szCs w:val="32"/>
        </w:rPr>
        <w:t>审核材料清单如下：</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（一）《竞买申请书》（交易网站下载）；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（二）《竞价结果通知书》（交易网站下载）；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（三）《竞买保证金到账通知书》（交易网站下载）；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（四）竞买保证金转账凭证复印件（加盖公章）；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（五）申请竞买人有效的《营业执照》复印件（加盖公章）；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（六）法定代表人身份证复印件（加盖公章）；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（七）授权他人代理的授权委托书及代理人身份证复印件（按模板填写）；</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rPr>
        <w:t>（八）联合竞买协议（联合竞买情形的提供，加盖公章）；</w:t>
      </w:r>
    </w:p>
    <w:p>
      <w:pPr>
        <w:pStyle w:val="2"/>
        <w:rPr>
          <w:rFonts w:hint="eastAsia"/>
        </w:rPr>
      </w:pPr>
      <w:r>
        <w:rPr>
          <w:rFonts w:hint="eastAsia" w:ascii="仿宋" w:hAnsi="仿宋" w:eastAsia="仿宋" w:cs="华文仿宋"/>
          <w:b w:val="0"/>
          <w:bCs w:val="0"/>
          <w:color w:val="auto"/>
          <w:kern w:val="2"/>
          <w:sz w:val="32"/>
          <w:szCs w:val="32"/>
        </w:rPr>
        <w:t>（</w:t>
      </w:r>
      <w:r>
        <w:rPr>
          <w:rFonts w:hint="eastAsia" w:ascii="仿宋" w:hAnsi="仿宋" w:eastAsia="仿宋" w:cs="华文仿宋"/>
          <w:b w:val="0"/>
          <w:bCs w:val="0"/>
          <w:color w:val="auto"/>
          <w:kern w:val="2"/>
          <w:sz w:val="32"/>
          <w:szCs w:val="32"/>
          <w:lang w:eastAsia="zh-CN"/>
        </w:rPr>
        <w:t>九</w:t>
      </w:r>
      <w:r>
        <w:rPr>
          <w:rFonts w:hint="eastAsia" w:ascii="仿宋" w:hAnsi="仿宋" w:eastAsia="仿宋" w:cs="华文仿宋"/>
          <w:b w:val="0"/>
          <w:bCs w:val="0"/>
          <w:color w:val="auto"/>
          <w:kern w:val="2"/>
          <w:sz w:val="32"/>
          <w:szCs w:val="32"/>
        </w:rPr>
        <w:t>）</w:t>
      </w:r>
      <w:r>
        <w:rPr>
          <w:rFonts w:hint="eastAsia" w:ascii="仿宋" w:hAnsi="仿宋" w:eastAsia="仿宋" w:cs="华文仿宋"/>
          <w:b w:val="0"/>
          <w:bCs w:val="0"/>
          <w:color w:val="000000"/>
          <w:sz w:val="32"/>
          <w:szCs w:val="32"/>
          <w:lang w:val="en-US" w:eastAsia="zh-CN"/>
        </w:rPr>
        <w:t>《项目投资协议书》</w:t>
      </w:r>
      <w:r>
        <w:rPr>
          <w:rFonts w:hint="eastAsia" w:ascii="仿宋" w:hAnsi="仿宋" w:eastAsia="仿宋" w:cs="华文仿宋"/>
          <w:b w:val="0"/>
          <w:bCs w:val="0"/>
          <w:color w:val="000000"/>
          <w:kern w:val="2"/>
          <w:sz w:val="32"/>
          <w:szCs w:val="32"/>
        </w:rPr>
        <w:t>（加盖公章）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w:t>
      </w:r>
      <w:r>
        <w:rPr>
          <w:rFonts w:hint="eastAsia" w:ascii="仿宋" w:hAnsi="仿宋" w:eastAsia="仿宋" w:cs="华文仿宋"/>
          <w:b w:val="0"/>
          <w:bCs w:val="0"/>
          <w:color w:val="auto"/>
          <w:kern w:val="2"/>
          <w:sz w:val="32"/>
          <w:szCs w:val="32"/>
          <w:lang w:eastAsia="zh-CN"/>
        </w:rPr>
        <w:t>十</w:t>
      </w:r>
      <w:r>
        <w:rPr>
          <w:rFonts w:hint="eastAsia" w:ascii="仿宋" w:hAnsi="仿宋" w:eastAsia="仿宋" w:cs="华文仿宋"/>
          <w:b w:val="0"/>
          <w:bCs w:val="0"/>
          <w:color w:val="auto"/>
          <w:kern w:val="2"/>
          <w:sz w:val="32"/>
          <w:szCs w:val="32"/>
        </w:rPr>
        <w:t>）</w:t>
      </w:r>
      <w:r>
        <w:rPr>
          <w:rFonts w:hint="eastAsia" w:ascii="仿宋" w:hAnsi="仿宋" w:eastAsia="仿宋" w:cs="华文仿宋"/>
          <w:b w:val="0"/>
          <w:bCs w:val="0"/>
          <w:color w:val="000000"/>
          <w:sz w:val="32"/>
          <w:szCs w:val="32"/>
          <w:lang w:eastAsia="zh-CN"/>
        </w:rPr>
        <w:t>《</w:t>
      </w:r>
      <w:r>
        <w:rPr>
          <w:rFonts w:hint="eastAsia" w:ascii="仿宋" w:hAnsi="仿宋" w:eastAsia="仿宋" w:cs="华文仿宋"/>
          <w:b w:val="0"/>
          <w:bCs w:val="0"/>
          <w:color w:val="000000"/>
          <w:sz w:val="32"/>
          <w:szCs w:val="32"/>
          <w:lang w:val="en-US" w:eastAsia="zh-CN"/>
        </w:rPr>
        <w:t>项目投资监管协议书</w:t>
      </w:r>
      <w:r>
        <w:rPr>
          <w:rFonts w:hint="eastAsia" w:ascii="仿宋" w:hAnsi="仿宋" w:eastAsia="仿宋" w:cs="华文仿宋"/>
          <w:b w:val="0"/>
          <w:bCs w:val="0"/>
          <w:color w:val="000000"/>
          <w:sz w:val="32"/>
          <w:szCs w:val="32"/>
          <w:lang w:eastAsia="zh-CN"/>
        </w:rPr>
        <w:t>》</w:t>
      </w:r>
      <w:r>
        <w:rPr>
          <w:rFonts w:hint="eastAsia" w:ascii="仿宋" w:hAnsi="仿宋" w:eastAsia="仿宋" w:cs="华文仿宋"/>
          <w:b w:val="0"/>
          <w:bCs w:val="0"/>
          <w:color w:val="000000"/>
          <w:kern w:val="2"/>
          <w:sz w:val="32"/>
          <w:szCs w:val="32"/>
        </w:rPr>
        <w:t>（加盖公章）</w:t>
      </w:r>
      <w:r>
        <w:rPr>
          <w:rFonts w:hint="eastAsia" w:ascii="仿宋" w:hAnsi="仿宋" w:eastAsia="仿宋" w:cs="华文仿宋"/>
          <w:b w:val="0"/>
          <w:bCs w:val="0"/>
          <w:color w:val="auto"/>
          <w:kern w:val="2"/>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不符合竞买资格的，取消成交候选人资格，竞价结果无效</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竞买资格前置审查的，交易系统自动公布交易结果；竞买资格后置审查的，委托人确定竞得人后，由</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中心通过网上挂牌交易系统发布交易结果。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确定竞得人后，竞得人按挂牌交易公告规定的时间与委托人、</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中心签订成交确认书，竞得人根据成交确认书约定的时间与委托人签订交易合同。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网上挂牌交易系统竞买人操作视频可</w:t>
      </w:r>
      <w:r>
        <w:rPr>
          <w:rFonts w:hint="eastAsia" w:ascii="仿宋" w:hAnsi="仿宋" w:eastAsia="仿宋" w:cs="仿宋"/>
          <w:color w:val="auto"/>
          <w:sz w:val="32"/>
          <w:szCs w:val="32"/>
          <w:lang w:eastAsia="zh-CN"/>
        </w:rPr>
        <w:t>登录</w:t>
      </w:r>
      <w:r>
        <w:rPr>
          <w:rFonts w:hint="eastAsia" w:ascii="仿宋" w:hAnsi="仿宋" w:eastAsia="仿宋" w:cs="仿宋"/>
          <w:color w:val="auto"/>
          <w:sz w:val="32"/>
          <w:szCs w:val="32"/>
        </w:rPr>
        <w:t>（https://www.hzgtjy.com/）下载。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（二）单独申请竞买的，竞买申请人为非本市注册登记的企业，在竞得土地后，必须于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（四）《竞价结果通知书》对挂牌人和成交候选人具有法律效力，挂牌人改变网上挂牌结果的，或者成交候选人放弃竞得宗地的，应当承担相应法律责任。</w:t>
      </w:r>
    </w:p>
    <w:p>
      <w:pPr>
        <w:numPr>
          <w:ilvl w:val="0"/>
          <w:numId w:val="0"/>
        </w:numPr>
        <w:spacing w:line="560" w:lineRule="exact"/>
        <w:ind w:firstLine="640" w:firstLineChars="200"/>
        <w:rPr>
          <w:rFonts w:hint="eastAsia" w:ascii="仿宋" w:hAnsi="仿宋" w:eastAsia="仿宋" w:cs="华文仿宋"/>
          <w:b w:val="0"/>
          <w:bCs w:val="0"/>
          <w:sz w:val="32"/>
          <w:szCs w:val="32"/>
        </w:rPr>
      </w:pPr>
      <w:r>
        <w:rPr>
          <w:rFonts w:hint="eastAsia" w:ascii="仿宋" w:hAnsi="仿宋" w:eastAsia="仿宋" w:cs="华文仿宋"/>
          <w:b w:val="0"/>
          <w:bCs w:val="0"/>
          <w:sz w:val="32"/>
          <w:szCs w:val="32"/>
          <w:lang w:eastAsia="zh-CN"/>
        </w:rPr>
        <w:t>（五）</w:t>
      </w:r>
      <w:r>
        <w:rPr>
          <w:rFonts w:hint="eastAsia" w:ascii="仿宋" w:hAnsi="仿宋" w:eastAsia="仿宋" w:cs="华文仿宋"/>
          <w:b w:val="0"/>
          <w:bCs w:val="0"/>
          <w:sz w:val="32"/>
          <w:szCs w:val="32"/>
        </w:rPr>
        <w:t>竞买保证金退还或转付成交价款</w:t>
      </w:r>
    </w:p>
    <w:p>
      <w:pPr>
        <w:numPr>
          <w:ilvl w:val="0"/>
          <w:numId w:val="0"/>
        </w:numPr>
        <w:spacing w:line="560" w:lineRule="exact"/>
        <w:ind w:firstLine="640" w:firstLineChars="200"/>
        <w:rPr>
          <w:rFonts w:hint="eastAsia" w:ascii="仿宋" w:hAnsi="仿宋" w:eastAsia="仿宋" w:cs="仿宋"/>
          <w:snapToGrid/>
          <w:vanish w:val="0"/>
          <w:color w:val="auto"/>
          <w:kern w:val="2"/>
          <w:sz w:val="32"/>
          <w:szCs w:val="32"/>
        </w:rPr>
      </w:pPr>
      <w:r>
        <w:rPr>
          <w:rFonts w:hint="eastAsia" w:ascii="仿宋" w:hAnsi="仿宋" w:eastAsia="仿宋" w:cs="华文仿宋"/>
          <w:b w:val="0"/>
          <w:bCs w:val="0"/>
          <w:color w:val="auto"/>
          <w:sz w:val="32"/>
          <w:szCs w:val="32"/>
        </w:rPr>
        <w:t>未竞得人交纳的竞买保证金于电子挂牌交易活动结束</w:t>
      </w:r>
      <w:r>
        <w:rPr>
          <w:rFonts w:hint="eastAsia" w:ascii="仿宋" w:hAnsi="仿宋" w:eastAsia="仿宋" w:cs="华文仿宋"/>
          <w:b w:val="0"/>
          <w:bCs w:val="0"/>
          <w:color w:val="auto"/>
          <w:sz w:val="32"/>
          <w:szCs w:val="32"/>
          <w:lang w:eastAsia="zh-CN"/>
        </w:rPr>
        <w:t>后，</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w:t>
      </w:r>
      <w:r>
        <w:rPr>
          <w:rFonts w:hint="eastAsia" w:ascii="仿宋" w:hAnsi="仿宋" w:eastAsia="仿宋" w:cs="华文仿宋"/>
          <w:b w:val="0"/>
          <w:bCs w:val="0"/>
          <w:color w:val="auto"/>
          <w:sz w:val="32"/>
          <w:szCs w:val="32"/>
        </w:rPr>
        <w:t>未竞得人</w:t>
      </w:r>
      <w:r>
        <w:rPr>
          <w:rFonts w:hint="eastAsia" w:ascii="仿宋" w:hAnsi="仿宋" w:eastAsia="仿宋" w:cs="华文仿宋"/>
          <w:b w:val="0"/>
          <w:bCs w:val="0"/>
          <w:color w:val="auto"/>
          <w:sz w:val="32"/>
          <w:szCs w:val="32"/>
          <w:lang w:eastAsia="zh-CN"/>
        </w:rPr>
        <w:t>退还</w:t>
      </w:r>
      <w:r>
        <w:rPr>
          <w:rFonts w:hint="eastAsia" w:ascii="仿宋" w:hAnsi="仿宋" w:eastAsia="仿宋" w:cs="华文仿宋"/>
          <w:b w:val="0"/>
          <w:bCs w:val="0"/>
          <w:color w:val="auto"/>
          <w:sz w:val="32"/>
          <w:szCs w:val="32"/>
        </w:rPr>
        <w:t>竞买保证金</w:t>
      </w:r>
      <w:r>
        <w:rPr>
          <w:rFonts w:hint="eastAsia" w:ascii="仿宋" w:hAnsi="仿宋" w:eastAsia="仿宋" w:cs="华文仿宋"/>
          <w:b w:val="0"/>
          <w:bCs w:val="0"/>
          <w:color w:val="auto"/>
          <w:sz w:val="32"/>
          <w:szCs w:val="32"/>
          <w:lang w:eastAsia="zh-CN"/>
        </w:rPr>
        <w:t>申请</w:t>
      </w:r>
      <w:r>
        <w:rPr>
          <w:rFonts w:hint="eastAsia" w:ascii="仿宋" w:hAnsi="仿宋" w:eastAsia="仿宋" w:cs="华文仿宋"/>
          <w:b w:val="0"/>
          <w:bCs w:val="0"/>
          <w:color w:val="auto"/>
          <w:sz w:val="32"/>
          <w:szCs w:val="32"/>
        </w:rPr>
        <w:t>之日起5个工作日内原路退还，不计利息。</w:t>
      </w:r>
      <w:r>
        <w:rPr>
          <w:rFonts w:hint="eastAsia" w:ascii="仿宋" w:hAnsi="仿宋" w:eastAsia="仿宋" w:cs="仿宋"/>
          <w:snapToGrid/>
          <w:vanish w:val="0"/>
          <w:color w:val="auto"/>
          <w:kern w:val="2"/>
          <w:sz w:val="32"/>
          <w:szCs w:val="32"/>
        </w:rPr>
        <w:t>若违法违规</w:t>
      </w:r>
      <w:r>
        <w:rPr>
          <w:rFonts w:hint="eastAsia" w:ascii="仿宋" w:hAnsi="仿宋" w:eastAsia="仿宋" w:cs="仿宋"/>
          <w:snapToGrid/>
          <w:vanish w:val="0"/>
          <w:color w:val="auto"/>
          <w:kern w:val="2"/>
          <w:sz w:val="32"/>
          <w:szCs w:val="32"/>
          <w:lang w:eastAsia="zh-CN"/>
        </w:rPr>
        <w:t>违约</w:t>
      </w:r>
      <w:r>
        <w:rPr>
          <w:rFonts w:hint="eastAsia" w:ascii="仿宋" w:hAnsi="仿宋" w:eastAsia="仿宋" w:cs="仿宋"/>
          <w:snapToGrid/>
          <w:vanish w:val="0"/>
          <w:color w:val="auto"/>
          <w:kern w:val="2"/>
          <w:sz w:val="32"/>
          <w:szCs w:val="32"/>
        </w:rPr>
        <w:t>竞买的，</w:t>
      </w:r>
      <w:r>
        <w:rPr>
          <w:rFonts w:hint="eastAsia" w:ascii="仿宋" w:hAnsi="仿宋" w:eastAsia="仿宋" w:cs="仿宋"/>
          <w:snapToGrid/>
          <w:vanish w:val="0"/>
          <w:color w:val="auto"/>
          <w:kern w:val="2"/>
          <w:sz w:val="32"/>
          <w:szCs w:val="32"/>
          <w:lang w:eastAsia="zh-CN"/>
        </w:rPr>
        <w:t>按有关规定另行处理</w:t>
      </w:r>
      <w:r>
        <w:rPr>
          <w:rFonts w:hint="eastAsia" w:ascii="仿宋" w:hAnsi="仿宋" w:eastAsia="仿宋" w:cs="仿宋"/>
          <w:snapToGrid/>
          <w:vanish w:val="0"/>
          <w:color w:val="auto"/>
          <w:kern w:val="2"/>
          <w:sz w:val="32"/>
          <w:szCs w:val="32"/>
        </w:rPr>
        <w:t>。</w:t>
      </w:r>
    </w:p>
    <w:p>
      <w:pPr>
        <w:pStyle w:val="2"/>
      </w:pPr>
      <w:r>
        <w:rPr>
          <w:rFonts w:hint="eastAsia" w:ascii="仿宋" w:hAnsi="仿宋" w:eastAsia="仿宋" w:cs="仿宋"/>
          <w:color w:val="auto"/>
          <w:sz w:val="32"/>
          <w:szCs w:val="32"/>
        </w:rPr>
        <w:t>未竞得人</w:t>
      </w:r>
      <w:r>
        <w:rPr>
          <w:rFonts w:hint="eastAsia" w:ascii="仿宋" w:hAnsi="仿宋" w:eastAsia="仿宋" w:cs="仿宋"/>
          <w:color w:val="auto"/>
          <w:sz w:val="32"/>
          <w:szCs w:val="32"/>
          <w:lang w:eastAsia="zh-CN"/>
        </w:rPr>
        <w:t>退</w:t>
      </w:r>
      <w:r>
        <w:rPr>
          <w:rFonts w:hint="eastAsia" w:ascii="仿宋" w:hAnsi="仿宋" w:eastAsia="仿宋" w:cs="仿宋"/>
          <w:color w:val="auto"/>
          <w:sz w:val="32"/>
          <w:szCs w:val="32"/>
        </w:rPr>
        <w:t>竞买保证金材料清单：1.竞买保证金退款申请书；2.保证金转账凭证复印件；3.《竞买保证金到账通知书》</w:t>
      </w:r>
      <w:r>
        <w:rPr>
          <w:rFonts w:hint="eastAsia" w:ascii="仿宋" w:hAnsi="仿宋" w:eastAsia="仿宋" w:cs="华文仿宋"/>
          <w:b w:val="0"/>
          <w:bCs w:val="0"/>
          <w:color w:val="auto"/>
          <w:kern w:val="2"/>
          <w:sz w:val="32"/>
          <w:szCs w:val="32"/>
        </w:rPr>
        <w:t>（交易网站下载）</w:t>
      </w:r>
      <w:r>
        <w:rPr>
          <w:rFonts w:hint="eastAsia" w:ascii="仿宋" w:hAnsi="仿宋" w:eastAsia="仿宋" w:cs="仿宋"/>
          <w:color w:val="auto"/>
          <w:sz w:val="32"/>
          <w:szCs w:val="32"/>
        </w:rPr>
        <w:t>；4.营业执照副本复印件；5.法定代表人身份证复印件；6.如授权他人代理的则需授权委托书</w:t>
      </w:r>
      <w:r>
        <w:rPr>
          <w:rFonts w:hint="eastAsia" w:ascii="仿宋" w:hAnsi="仿宋" w:eastAsia="仿宋" w:cs="华文仿宋"/>
          <w:b w:val="0"/>
          <w:bCs w:val="0"/>
          <w:color w:val="auto"/>
          <w:kern w:val="2"/>
          <w:sz w:val="32"/>
          <w:szCs w:val="32"/>
        </w:rPr>
        <w:t>（按模板填写）</w:t>
      </w:r>
      <w:r>
        <w:rPr>
          <w:rFonts w:hint="eastAsia" w:ascii="仿宋" w:hAnsi="仿宋" w:eastAsia="仿宋" w:cs="仿宋"/>
          <w:color w:val="auto"/>
          <w:sz w:val="32"/>
          <w:szCs w:val="32"/>
        </w:rPr>
        <w:t>及代理人身份证复印件。</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sz w:val="32"/>
          <w:szCs w:val="32"/>
        </w:rPr>
        <w:t>竞得人签订《成交确认书》后，交纳的竞买保证金按成交价的</w:t>
      </w:r>
      <w:r>
        <w:rPr>
          <w:rFonts w:hint="eastAsia" w:ascii="仿宋" w:hAnsi="仿宋" w:eastAsia="仿宋" w:cs="华文仿宋"/>
          <w:b w:val="0"/>
          <w:bCs w:val="0"/>
          <w:color w:val="auto"/>
          <w:sz w:val="32"/>
          <w:szCs w:val="32"/>
          <w:u w:val="none"/>
          <w:lang w:val="en-US" w:eastAsia="zh-CN"/>
        </w:rPr>
        <w:t>10</w:t>
      </w:r>
      <w:r>
        <w:rPr>
          <w:rFonts w:hint="eastAsia" w:ascii="仿宋" w:hAnsi="仿宋" w:eastAsia="仿宋" w:cs="华文仿宋"/>
          <w:b w:val="0"/>
          <w:bCs w:val="0"/>
          <w:color w:val="auto"/>
          <w:sz w:val="32"/>
          <w:szCs w:val="32"/>
        </w:rPr>
        <w:t>%转作受让宗地的定金。如竞买保证金不足以缴纳定金，不足部分在签订《成交确认书》之日起5个工作日内补齐；如竞买保证金转作定金后有剩余，余额转作宗地成交价款，定金可抵作宗地成交价款。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（十一）出让公告、竞买须知及相关交易文件需要修改、补充时，将通过原公告发布渠道公告，不作另行通知。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（十二）本竞买须知及出让公告涉及的时间期限，以网上挂牌交易系统服务器的时间为准。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中心对本《须知》有解释权。未尽事宜依照《招标拍卖挂牌出让国有土地使用权规范》办理。</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pStyle w:val="2"/>
        <w:rPr>
          <w:rFonts w:hint="eastAsia" w:ascii="仿宋" w:hAnsi="仿宋" w:eastAsia="仿宋" w:cs="仿宋"/>
          <w:color w:val="auto"/>
          <w:sz w:val="32"/>
          <w:szCs w:val="32"/>
        </w:rPr>
      </w:pPr>
    </w:p>
    <w:p>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r>
        <w:rPr>
          <w:rFonts w:hint="eastAsia" w:ascii="仿宋" w:hAnsi="仿宋" w:eastAsia="仿宋" w:cs="仿宋"/>
          <w:color w:val="auto"/>
          <w:sz w:val="32"/>
          <w:szCs w:val="32"/>
          <w:lang w:eastAsia="zh-CN"/>
        </w:rPr>
        <w:t>惠东分中心</w:t>
      </w:r>
    </w:p>
    <w:p>
      <w:pPr>
        <w:rPr>
          <w:color w:val="000000" w:themeColor="text1"/>
          <w14:textFill>
            <w14:solidFill>
              <w14:schemeClr w14:val="tx1"/>
            </w14:solidFill>
          </w14:textFill>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2024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8C3E6C"/>
    <w:rsid w:val="06587A83"/>
    <w:rsid w:val="0D96631E"/>
    <w:rsid w:val="0F586A0D"/>
    <w:rsid w:val="0F8728CB"/>
    <w:rsid w:val="1138689E"/>
    <w:rsid w:val="12413F80"/>
    <w:rsid w:val="1DAD3E49"/>
    <w:rsid w:val="224C5F2F"/>
    <w:rsid w:val="24134E9E"/>
    <w:rsid w:val="24EC4FEB"/>
    <w:rsid w:val="28890BEC"/>
    <w:rsid w:val="2A4E247F"/>
    <w:rsid w:val="2FCC3A6A"/>
    <w:rsid w:val="35E1664C"/>
    <w:rsid w:val="37251A19"/>
    <w:rsid w:val="39192335"/>
    <w:rsid w:val="39B55791"/>
    <w:rsid w:val="3F4C2CB2"/>
    <w:rsid w:val="4A497E70"/>
    <w:rsid w:val="4F624AF9"/>
    <w:rsid w:val="513A5026"/>
    <w:rsid w:val="560B6EB6"/>
    <w:rsid w:val="5D497381"/>
    <w:rsid w:val="5E373C13"/>
    <w:rsid w:val="65733ED9"/>
    <w:rsid w:val="691B3097"/>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lock Text"/>
    <w:basedOn w:val="1"/>
    <w:unhideWhenUsed/>
    <w:qFormat/>
    <w:uiPriority w:val="99"/>
    <w:pPr>
      <w:spacing w:after="120" w:afterLines="0" w:afterAutospacing="0"/>
      <w:ind w:left="1440" w:leftChars="700" w:rightChars="700"/>
    </w:pPr>
  </w:style>
  <w:style w:type="paragraph" w:styleId="4">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惠东县</Company>
  <Pages>12</Pages>
  <Words>5480</Words>
  <Characters>5578</Characters>
  <Lines>0</Lines>
  <Paragraphs>0</Paragraphs>
  <TotalTime>1</TotalTime>
  <ScaleCrop>false</ScaleCrop>
  <LinksUpToDate>false</LinksUpToDate>
  <CharactersWithSpaces>5631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2024-01-03T01:41:22Z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618D7B3D77424623A9608E9F32A16B0B</vt:lpwstr>
  </property>
</Properties>
</file>